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VALUE Model Methodology</w:t>
      </w:r>
    </w:p>
    <w:p>
      <w:pPr>
        <w:pStyle w:val="Subtitle"/>
      </w:pPr>
      <w:r>
        <w:t>Mathematical formulation  Algorithms  Input data</w:t>
      </w:r>
    </w:p>
    <w:p>
      <w:r>
        <w:t>Edition 0.5   12 October 2026</w:t>
        <w:br/>
        <w:t>VALUE 0.7.0-alpha.1 · Implementation and data basis 9 October 2026</w:t>
      </w:r>
    </w:p>
    <w:p>
      <w:pPr>
        <w:pStyle w:val="Heading2"/>
      </w:pPr>
      <w:r>
        <w:t>Contents</w:t>
      </w:r>
    </w:p>
    <w:p>
      <w:r>
        <w:t>1 Model framework</w:t>
      </w:r>
    </w:p>
    <w:p>
      <w:r>
        <w:t>2 Initial data and input processing</w:t>
      </w:r>
    </w:p>
    <w:p>
      <w:r>
        <w:t>3 Weather and available generation</w:t>
      </w:r>
    </w:p>
    <w:p>
      <w:r>
        <w:t>4 Operation and storage</w:t>
      </w:r>
    </w:p>
    <w:p>
      <w:r>
        <w:t>5 National market clearing</w:t>
      </w:r>
    </w:p>
    <w:p>
      <w:r>
        <w:t>6 Annual accounting and investment</w:t>
      </w:r>
    </w:p>
    <w:p>
      <w:r>
        <w:t>7 Transmission and network constraints</w:t>
      </w:r>
    </w:p>
    <w:p>
      <w:r>
        <w:t>8 Perfect-foresight dispatch and natural hydrology</w:t>
      </w:r>
    </w:p>
    <w:p>
      <w:r>
        <w:t>9 Carbon accounting parameters</w:t>
      </w:r>
    </w:p>
    <w:p>
      <w:r>
        <w:br w:type="page"/>
      </w:r>
    </w:p>
    <w:p>
      <w:pPr>
        <w:pStyle w:val="Heading1"/>
      </w:pPr>
      <w:r>
        <w:rPr>
          <w:b w:val="0"/>
          <w:i w:val="0"/>
        </w:rPr>
        <w:t>1 Model framework</w:t>
      </w:r>
    </w:p>
    <w:p>
      <w:r>
        <w:rPr>
          <w:b w:val="0"/>
          <w:i w:val="0"/>
        </w:rPr>
        <w:t>VALUE simulates half-hourly electricity-system operation and annual changes in its assets. Generation, storage and imported electricity enter market clearing through offers. Annual asset income, operating cost and expansion headroom determine investment and retirement proposals. Development times and regional success rates determine when projects enter the operating fleet. Outputs include generation, storage charging and discharging, electricity shortfall, prices, system cost, carbon emissions and operating capacity by technology.</w:t>
      </w:r>
    </w:p>
    <w:p>
      <w:pPr>
        <w:pStyle w:val="Heading2"/>
      </w:pPr>
      <w:r>
        <w:rPr>
          <w:b w:val="0"/>
          <w:i w:val="0"/>
        </w:rPr>
        <w:t>Time, units and space</w:t>
      </w:r>
    </w:p>
    <w:p>
      <w:r>
        <w:rPr>
          <w:b w:val="0"/>
          <w:i w:val="0"/>
        </w:rPr>
        <w:t>The operating interval is half an hour in UTC. Each model year has 365 days and 17,520 intervals, with 28 days in February. Power is measured in MW and interval energy in MWh: 1 MW supplies 0.5 MWh in a half-hour. A complete operating year supplies the annual investment calculation; commissioning and retirement update the fleet between years.</w:t>
      </w:r>
    </w:p>
    <w:p>
      <w:r>
        <w:rPr>
          <w:b w:val="0"/>
          <w:i w:val="0"/>
        </w:rPr>
        <w:t>The national single-node model clears aggregate demand and supply in Great Britain, with interconnectors offering external electricity. The zonal model forms an electricity balance for each zone from resource locations and demand shares, subject to line and boundary constraints. Chapter 7 specifies the 23-zone inputs, resource allocation, network constraints and numerical solution.</w:t>
      </w:r>
    </w:p>
    <w:p>
      <w:r>
        <w:rPr>
          <w:b w:val="0"/>
          <w:i w:val="0"/>
        </w:rPr>
        <w:t>Monetary calculations use constant start-year prices as a scenario convention, with 2025 as the default start year. Input tables retain the price years of technology costs, imported electricity and policy parameters. Chapter 2 lists the inputs and conversions; Chapter 5 gives generator restart costs in 2025 GBP.</w:t>
      </w:r>
    </w:p>
    <w:p>
      <w:pPr>
        <w:pStyle w:val="Heading2"/>
      </w:pPr>
      <w:r>
        <w:rPr>
          <w:b w:val="0"/>
          <w:i w:val="0"/>
        </w:rPr>
        <w:t>Operating methods</w:t>
      </w:r>
    </w:p>
    <w:p>
      <w:r>
        <w:rPr>
          <w:b w:val="0"/>
          <w:i w:val="0"/>
        </w:rPr>
        <w:t xml:space="preserve">Default national operation uses the </w:t>
      </w:r>
      <w:r>
        <w:rPr>
          <w:rFonts w:ascii="DejaVu Sans Mono" w:hAnsi="DejaVu Sans Mono"/>
          <w:b w:val="0"/>
          <w:i w:val="0"/>
          <w:sz w:val="17"/>
        </w:rPr>
        <w:t>value-corrected</w:t>
      </w:r>
      <w:r>
        <w:rPr>
          <w:b w:val="0"/>
          <w:i w:val="0"/>
        </w:rPr>
        <w:t xml:space="preserve"> configuration and </w:t>
      </w:r>
      <w:r>
        <w:rPr>
          <w:rFonts w:ascii="DejaVu Sans Mono" w:hAnsi="DejaVu Sans Mono"/>
          <w:b w:val="0"/>
          <w:i w:val="0"/>
          <w:sz w:val="17"/>
        </w:rPr>
        <w:t>value-bid-at-cost-psm</w:t>
      </w:r>
      <w:r>
        <w:rPr>
          <w:b w:val="0"/>
          <w:i w:val="0"/>
        </w:rPr>
        <w:t xml:space="preserve"> module. Its Native kernel uses </w:t>
      </w:r>
      <w:r>
        <w:rPr>
          <w:rFonts w:ascii="DejaVu Sans Mono" w:hAnsi="DejaVu Sans Mono"/>
          <w:b w:val="0"/>
          <w:i w:val="0"/>
          <w:sz w:val="17"/>
        </w:rPr>
        <w:t>native-corrected-v1</w:t>
      </w:r>
      <w:r>
        <w:rPr>
          <w:b w:val="0"/>
          <w:i w:val="0"/>
        </w:rPr>
        <w:t xml:space="preserve"> to determine offer ordering, uniform marginal settlement, storage operation and thermal downward adjustments. Each period first schedules supply against forecast demand and availability, then balances realised demand and availability using the remaining flexibility. Chapter 5 develops the algorithm in this order.</w:t>
      </w:r>
    </w:p>
    <w:p>
      <w:r>
        <w:rPr>
          <w:rFonts w:ascii="DejaVu Sans Mono" w:hAnsi="DejaVu Sans Mono"/>
          <w:b w:val="0"/>
          <w:i w:val="0"/>
          <w:sz w:val="17"/>
        </w:rPr>
        <w:t>value-staged-bid-at-cost-psm</w:t>
      </w:r>
      <w:r>
        <w:rPr>
          <w:b w:val="0"/>
          <w:i w:val="0"/>
        </w:rPr>
        <w:t xml:space="preserve"> passes the national schedule to a separate balancing module. </w:t>
      </w:r>
      <w:r>
        <w:rPr>
          <w:rFonts w:ascii="DejaVu Sans Mono" w:hAnsi="DejaVu Sans Mono"/>
          <w:b w:val="0"/>
          <w:i w:val="0"/>
          <w:sz w:val="17"/>
        </w:rPr>
        <w:t>value-copperplate-balancing</w:t>
      </w:r>
      <w:r>
        <w:rPr>
          <w:b w:val="0"/>
          <w:i w:val="0"/>
        </w:rPr>
        <w:t xml:space="preserve"> calculates single-node balancing, while </w:t>
      </w:r>
      <w:r>
        <w:rPr>
          <w:rFonts w:ascii="DejaVu Sans Mono" w:hAnsi="DejaVu Sans Mono"/>
          <w:b w:val="0"/>
          <w:i w:val="0"/>
          <w:sz w:val="17"/>
        </w:rPr>
        <w:t>value-zonal-redispatch-balancing</w:t>
      </w:r>
      <w:r>
        <w:rPr>
          <w:b w:val="0"/>
          <w:i w:val="0"/>
        </w:rPr>
        <w:t xml:space="preserve"> calculates zonal redispatch subject to network constraints. Chapter 4 connects scheduling, balancing and storage state; Chapter 7 defines the zonal objective functions, constraints and settlement.</w:t>
      </w:r>
    </w:p>
    <w:p>
      <w:r>
        <w:rPr>
          <w:b w:val="0"/>
          <w:i w:val="0"/>
        </w:rPr>
        <w:t xml:space="preserve">Perfect-foresight dispatch uses the complete demand and availability sequences within its solution window to optimise generation, imports and storage jointly. Chapter 8 defines the objective, time-coupled constraints and terminal storage condition of </w:t>
      </w:r>
      <w:r>
        <w:rPr>
          <w:rFonts w:ascii="DejaVu Sans Mono" w:hAnsi="DejaVu Sans Mono"/>
          <w:b w:val="0"/>
          <w:i w:val="0"/>
          <w:sz w:val="17"/>
        </w:rPr>
        <w:t>value-perfect-foresight-lp</w:t>
      </w:r>
      <w:r>
        <w:rPr>
          <w:b w:val="0"/>
          <w:i w:val="0"/>
        </w:rPr>
        <w:t>. It also specifies the run-of-river and reservoir calculations from natural inflows to available hydroelectricity.</w:t>
      </w:r>
    </w:p>
    <w:p>
      <w:pPr>
        <w:pStyle w:val="Heading2"/>
      </w:pPr>
      <w:r>
        <w:rPr>
          <w:b w:val="0"/>
          <w:i w:val="0"/>
        </w:rPr>
        <w:t>Initial conditions and annual sequence</w:t>
      </w:r>
    </w:p>
    <w:p>
      <w:r>
        <w:rPr>
          <w:b w:val="0"/>
          <w:i w:val="0"/>
        </w:rPr>
        <w:t xml:space="preserve">A calculation is defined by its input data pack, start and end years, selected modules and numerical parameters. </w:t>
      </w:r>
      <w:r>
        <w:rPr>
          <w:rFonts w:ascii="DejaVu Sans Mono" w:hAnsi="DejaVu Sans Mono"/>
          <w:b w:val="0"/>
          <w:i w:val="0"/>
          <w:sz w:val="17"/>
        </w:rPr>
        <w:t>native_initial_state</w:t>
      </w:r>
      <w:r>
        <w:rPr>
          <w:b w:val="0"/>
          <w:i w:val="0"/>
        </w:rPr>
        <w:t xml:space="preserve"> constructs </w:t>
      </w:r>
      <w:r>
        <w:rPr>
          <w:rFonts w:ascii="DejaVu Sans Mono" w:hAnsi="DejaVu Sans Mono"/>
          <w:b w:val="0"/>
          <w:i w:val="0"/>
          <w:sz w:val="17"/>
        </w:rPr>
        <w:t>initial_state</w:t>
      </w:r>
      <w:r>
        <w:rPr>
          <w:b w:val="0"/>
          <w:i w:val="0"/>
        </w:rPr>
        <w:t xml:space="preserve"> from the fleet, REPD projects, costs, development timelines and regional success rates. Operating assets carry technology, region, power capacity, storage energy capacity, costs and lifetime. Planned projects carry capacity, status and expected commissioning year. Chapter 2 specifies the input fields, values and initialisation rules.</w:t>
      </w:r>
    </w:p>
    <w:p>
      <w:r>
        <w:rPr>
          <w:b w:val="0"/>
          <w:i w:val="0"/>
        </w:rPr>
        <w:t xml:space="preserve">Each year advances the planning projects, operates the annual market and constructs the following year's assets and projects. </w:t>
      </w:r>
      <w:r>
        <w:rPr>
          <w:rFonts w:ascii="DejaVu Sans Mono" w:hAnsi="DejaVu Sans Mono"/>
          <w:b w:val="0"/>
          <w:i w:val="0"/>
          <w:sz w:val="17"/>
        </w:rPr>
        <w:t>AnnualModelOrchestratorV2.run</w:t>
      </w:r>
      <w:r>
        <w:rPr>
          <w:b w:val="0"/>
          <w:i w:val="0"/>
        </w:rPr>
        <w:t xml:space="preserve"> calls the modules in the order below. The corresponding chapters develop each calculation, including its equations, initial values and boundary conditions.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08"/>
        <w:gridCol w:w="3342"/>
        <w:gridCol w:w="3342"/>
        <w:gridCol w:w="1700"/>
      </w:tblGrid>
      <w:tr>
        <w:trPr>
          <w:cantSplit/>
          <w:tblHeader w:val="true"/>
        </w:trPr>
        <w:tc>
          <w:tcPr>
            <w:tcW w:type="dxa" w:w="1408"/>
            <w:vAlign w:val="center"/>
            <w:tcMar>
              <w:top w:w="90" w:type="dxa"/>
              <w:left w:w="90" w:type="dxa"/>
              <w:bottom w:w="90" w:type="dxa"/>
              <w:right w:w="90" w:type="dxa"/>
            </w:tcMar>
            <w:shd w:fill="EEEEEE"/>
          </w:tcPr>
          <w:p>
            <w:pPr>
              <w:spacing w:after="40" w:line="276" w:lineRule="auto"/>
            </w:pPr>
            <w:r>
              <w:rPr>
                <w:b/>
                <w:i w:val="0"/>
                <w:sz w:val="18"/>
              </w:rPr>
              <w:t>Order</w:t>
            </w:r>
          </w:p>
        </w:tc>
        <w:tc>
          <w:tcPr>
            <w:tcW w:type="dxa" w:w="3342"/>
            <w:vAlign w:val="center"/>
            <w:tcMar>
              <w:top w:w="90" w:type="dxa"/>
              <w:left w:w="90" w:type="dxa"/>
              <w:bottom w:w="90" w:type="dxa"/>
              <w:right w:w="90" w:type="dxa"/>
            </w:tcMar>
            <w:shd w:fill="EEEEEE"/>
          </w:tcPr>
          <w:p>
            <w:pPr>
              <w:spacing w:after="40" w:line="276" w:lineRule="auto"/>
            </w:pPr>
            <w:r>
              <w:rPr>
                <w:b/>
                <w:i w:val="0"/>
                <w:sz w:val="18"/>
              </w:rPr>
              <w:t>Calculation</w:t>
            </w:r>
          </w:p>
        </w:tc>
        <w:tc>
          <w:tcPr>
            <w:tcW w:type="dxa" w:w="3342"/>
            <w:vAlign w:val="center"/>
            <w:tcMar>
              <w:top w:w="90" w:type="dxa"/>
              <w:left w:w="90" w:type="dxa"/>
              <w:bottom w:w="90" w:type="dxa"/>
              <w:right w:w="90" w:type="dxa"/>
            </w:tcMar>
            <w:shd w:fill="EEEEEE"/>
          </w:tcPr>
          <w:p>
            <w:pPr>
              <w:spacing w:after="40" w:line="276" w:lineRule="auto"/>
            </w:pPr>
            <w:r>
              <w:rPr>
                <w:b/>
                <w:i w:val="0"/>
                <w:sz w:val="18"/>
              </w:rPr>
              <w:t>Variables and functions</w:t>
            </w:r>
          </w:p>
        </w:tc>
        <w:tc>
          <w:tcPr>
            <w:tcW w:type="dxa" w:w="1700"/>
            <w:vAlign w:val="center"/>
            <w:tcMar>
              <w:top w:w="90" w:type="dxa"/>
              <w:left w:w="90" w:type="dxa"/>
              <w:bottom w:w="90" w:type="dxa"/>
              <w:right w:w="90" w:type="dxa"/>
            </w:tcMar>
            <w:shd w:fill="EEEEEE"/>
          </w:tcPr>
          <w:p>
            <w:pPr>
              <w:spacing w:after="40" w:line="276" w:lineRule="auto"/>
            </w:pPr>
            <w:r>
              <w:rPr>
                <w:b/>
                <w:i w:val="0"/>
                <w:sz w:val="18"/>
              </w:rPr>
              <w:t>Chapter</w:t>
            </w:r>
          </w:p>
        </w:tc>
      </w:tr>
      <w:tr>
        <w:trPr>
          <w:cantSplit/>
        </w:trPr>
        <w:tc>
          <w:tcPr>
            <w:tcW w:type="dxa" w:w="1408"/>
            <w:vAlign w:val="center"/>
            <w:tcMar>
              <w:top w:w="90" w:type="dxa"/>
              <w:left w:w="90" w:type="dxa"/>
              <w:bottom w:w="90" w:type="dxa"/>
              <w:right w:w="90" w:type="dxa"/>
            </w:tcMar>
          </w:tcPr>
          <w:p>
            <w:pPr>
              <w:spacing w:after="40" w:line="276" w:lineRule="auto"/>
            </w:pPr>
            <w:r>
              <w:rPr>
                <w:b w:val="0"/>
                <w:i w:val="0"/>
                <w:sz w:val="18"/>
              </w:rPr>
              <w:t>1</w:t>
            </w:r>
          </w:p>
        </w:tc>
        <w:tc>
          <w:tcPr>
            <w:tcW w:type="dxa" w:w="3342"/>
            <w:vAlign w:val="center"/>
            <w:tcMar>
              <w:top w:w="90" w:type="dxa"/>
              <w:left w:w="90" w:type="dxa"/>
              <w:bottom w:w="90" w:type="dxa"/>
              <w:right w:w="90" w:type="dxa"/>
            </w:tcMar>
          </w:tcPr>
          <w:p>
            <w:pPr>
              <w:spacing w:after="40" w:line="276" w:lineRule="auto"/>
            </w:pPr>
            <w:r>
              <w:rPr>
                <w:b w:val="0"/>
                <w:i w:val="0"/>
                <w:sz w:val="18"/>
              </w:rPr>
              <w:t>Update the operating fleet from project commissioning years</w:t>
            </w:r>
          </w:p>
        </w:tc>
        <w:tc>
          <w:tcPr>
            <w:tcW w:type="dxa" w:w="3342"/>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planning.advance_year</w:t>
            </w:r>
            <w:r>
              <w:rPr>
                <w:b w:val="0"/>
                <w:i w:val="0"/>
                <w:sz w:val="18"/>
              </w:rPr>
              <w:t xml:space="preserve"> produces </w:t>
            </w:r>
            <w:r>
              <w:rPr>
                <w:rFonts w:ascii="DejaVu Sans Mono" w:hAnsi="DejaVu Sans Mono"/>
                <w:b w:val="0"/>
                <w:i w:val="0"/>
                <w:sz w:val="18"/>
              </w:rPr>
              <w:t>advanced.operating_​state</w:t>
            </w:r>
          </w:p>
        </w:tc>
        <w:tc>
          <w:tcPr>
            <w:tcW w:type="dxa" w:w="1700"/>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408"/>
            <w:vAlign w:val="center"/>
            <w:tcMar>
              <w:top w:w="90" w:type="dxa"/>
              <w:left w:w="90" w:type="dxa"/>
              <w:bottom w:w="90" w:type="dxa"/>
              <w:right w:w="90" w:type="dxa"/>
            </w:tcMar>
          </w:tcPr>
          <w:p>
            <w:pPr>
              <w:spacing w:after="40" w:line="276" w:lineRule="auto"/>
            </w:pPr>
            <w:r>
              <w:rPr>
                <w:b w:val="0"/>
                <w:i w:val="0"/>
                <w:sz w:val="18"/>
              </w:rPr>
              <w:t>2</w:t>
            </w:r>
          </w:p>
        </w:tc>
        <w:tc>
          <w:tcPr>
            <w:tcW w:type="dxa" w:w="3342"/>
            <w:vAlign w:val="center"/>
            <w:tcMar>
              <w:top w:w="90" w:type="dxa"/>
              <w:left w:w="90" w:type="dxa"/>
              <w:bottom w:w="90" w:type="dxa"/>
              <w:right w:w="90" w:type="dxa"/>
            </w:tcMar>
          </w:tcPr>
          <w:p>
            <w:pPr>
              <w:spacing w:after="40" w:line="276" w:lineRule="auto"/>
            </w:pPr>
            <w:r>
              <w:rPr>
                <w:b w:val="0"/>
                <w:i w:val="0"/>
                <w:sz w:val="18"/>
              </w:rPr>
              <w:t>Prepare demand, weather, availability and external exchange</w:t>
            </w:r>
          </w:p>
        </w:tc>
        <w:tc>
          <w:tcPr>
            <w:tcW w:type="dxa" w:w="3342"/>
            <w:vAlign w:val="center"/>
            <w:tcMar>
              <w:top w:w="90" w:type="dxa"/>
              <w:left w:w="90" w:type="dxa"/>
              <w:bottom w:w="90" w:type="dxa"/>
              <w:right w:w="90" w:type="dxa"/>
            </w:tcMar>
          </w:tcPr>
          <w:p>
            <w:pPr>
              <w:spacing w:after="40" w:line="276" w:lineRule="auto"/>
            </w:pPr>
            <w:r>
              <w:rPr>
                <w:rFonts w:ascii="DejaVu Sans Mono" w:hAnsi="DejaVu Sans Mono"/>
                <w:b w:val="0"/>
                <w:i w:val="0"/>
                <w:sz w:val="18"/>
              </w:rPr>
              <w:t>psm_input_factory</w:t>
            </w:r>
            <w:r>
              <w:rPr>
                <w:b w:val="0"/>
                <w:i w:val="0"/>
                <w:sz w:val="18"/>
              </w:rPr>
              <w:t xml:space="preserve"> produces </w:t>
            </w:r>
            <w:r>
              <w:rPr>
                <w:rFonts w:ascii="DejaVu Sans Mono" w:hAnsi="DejaVu Sans Mono"/>
                <w:b w:val="0"/>
                <w:i w:val="0"/>
                <w:sz w:val="18"/>
              </w:rPr>
              <w:t>model_input</w:t>
            </w:r>
          </w:p>
        </w:tc>
        <w:tc>
          <w:tcPr>
            <w:tcW w:type="dxa" w:w="1700"/>
            <w:vAlign w:val="center"/>
            <w:tcMar>
              <w:top w:w="90" w:type="dxa"/>
              <w:left w:w="90" w:type="dxa"/>
              <w:bottom w:w="90" w:type="dxa"/>
              <w:right w:w="90" w:type="dxa"/>
            </w:tcMar>
          </w:tcPr>
          <w:p>
            <w:pPr>
              <w:spacing w:after="40" w:line="276" w:lineRule="auto"/>
            </w:pPr>
            <w:r>
              <w:rPr>
                <w:b w:val="0"/>
                <w:i w:val="0"/>
                <w:sz w:val="18"/>
              </w:rPr>
              <w:t>2, 3</w:t>
            </w:r>
          </w:p>
        </w:tc>
      </w:tr>
      <w:tr>
        <w:trPr>
          <w:cantSplit/>
        </w:trPr>
        <w:tc>
          <w:tcPr>
            <w:tcW w:type="dxa" w:w="1408"/>
            <w:vAlign w:val="center"/>
            <w:tcMar>
              <w:top w:w="90" w:type="dxa"/>
              <w:left w:w="90" w:type="dxa"/>
              <w:bottom w:w="90" w:type="dxa"/>
              <w:right w:w="90" w:type="dxa"/>
            </w:tcMar>
          </w:tcPr>
          <w:p>
            <w:pPr>
              <w:spacing w:after="40" w:line="276" w:lineRule="auto"/>
            </w:pPr>
            <w:r>
              <w:rPr>
                <w:b w:val="0"/>
                <w:i w:val="0"/>
                <w:sz w:val="18"/>
              </w:rPr>
              <w:t>3</w:t>
            </w:r>
          </w:p>
        </w:tc>
        <w:tc>
          <w:tcPr>
            <w:tcW w:type="dxa" w:w="3342"/>
            <w:vAlign w:val="center"/>
            <w:tcMar>
              <w:top w:w="90" w:type="dxa"/>
              <w:left w:w="90" w:type="dxa"/>
              <w:bottom w:w="90" w:type="dxa"/>
              <w:right w:w="90" w:type="dxa"/>
            </w:tcMar>
          </w:tcPr>
          <w:p>
            <w:pPr>
              <w:spacing w:after="40" w:line="276" w:lineRule="auto"/>
            </w:pPr>
            <w:r>
              <w:rPr>
                <w:b w:val="0"/>
                <w:i w:val="0"/>
                <w:sz w:val="18"/>
              </w:rPr>
              <w:t>Clear operating periods and aggregate their results</w:t>
            </w:r>
          </w:p>
        </w:tc>
        <w:tc>
          <w:tcPr>
            <w:tcW w:type="dxa" w:w="3342"/>
            <w:vAlign w:val="center"/>
            <w:tcMar>
              <w:top w:w="90" w:type="dxa"/>
              <w:left w:w="90" w:type="dxa"/>
              <w:bottom w:w="90" w:type="dxa"/>
              <w:right w:w="90" w:type="dxa"/>
            </w:tcMar>
          </w:tcPr>
          <w:p>
            <w:pPr>
              <w:spacing w:after="40" w:line="276" w:lineRule="auto"/>
            </w:pPr>
            <w:r>
              <w:rPr>
                <w:rFonts w:ascii="DejaVu Sans Mono" w:hAnsi="DejaVu Sans Mono"/>
                <w:b w:val="0"/>
                <w:i w:val="0"/>
                <w:sz w:val="18"/>
              </w:rPr>
              <w:t>psm.run</w:t>
            </w:r>
            <w:r>
              <w:rPr>
                <w:b w:val="0"/>
                <w:i w:val="0"/>
                <w:sz w:val="18"/>
              </w:rPr>
              <w:t xml:space="preserve"> produces </w:t>
            </w:r>
            <w:r>
              <w:rPr>
                <w:rFonts w:ascii="DejaVu Sans Mono" w:hAnsi="DejaVu Sans Mono"/>
                <w:b w:val="0"/>
                <w:i w:val="0"/>
                <w:sz w:val="18"/>
              </w:rPr>
              <w:t>market</w:t>
            </w:r>
          </w:p>
        </w:tc>
        <w:tc>
          <w:tcPr>
            <w:tcW w:type="dxa" w:w="1700"/>
            <w:vAlign w:val="center"/>
            <w:tcMar>
              <w:top w:w="90" w:type="dxa"/>
              <w:left w:w="90" w:type="dxa"/>
              <w:bottom w:w="90" w:type="dxa"/>
              <w:right w:w="90" w:type="dxa"/>
            </w:tcMar>
          </w:tcPr>
          <w:p>
            <w:pPr>
              <w:spacing w:after="40" w:line="276" w:lineRule="auto"/>
            </w:pPr>
            <w:r>
              <w:rPr>
                <w:b w:val="0"/>
                <w:i w:val="0"/>
                <w:sz w:val="18"/>
              </w:rPr>
              <w:t>4, 5, 7, 8</w:t>
            </w:r>
          </w:p>
        </w:tc>
      </w:tr>
      <w:tr>
        <w:trPr>
          <w:cantSplit/>
        </w:trPr>
        <w:tc>
          <w:tcPr>
            <w:tcW w:type="dxa" w:w="1408"/>
            <w:vAlign w:val="center"/>
            <w:tcMar>
              <w:top w:w="90" w:type="dxa"/>
              <w:left w:w="90" w:type="dxa"/>
              <w:bottom w:w="90" w:type="dxa"/>
              <w:right w:w="90" w:type="dxa"/>
            </w:tcMar>
          </w:tcPr>
          <w:p>
            <w:pPr>
              <w:spacing w:after="40" w:line="276" w:lineRule="auto"/>
            </w:pPr>
            <w:r>
              <w:rPr>
                <w:b w:val="0"/>
                <w:i w:val="0"/>
                <w:sz w:val="18"/>
              </w:rPr>
              <w:t>4</w:t>
            </w:r>
          </w:p>
        </w:tc>
        <w:tc>
          <w:tcPr>
            <w:tcW w:type="dxa" w:w="3342"/>
            <w:vAlign w:val="center"/>
            <w:tcMar>
              <w:top w:w="90" w:type="dxa"/>
              <w:left w:w="90" w:type="dxa"/>
              <w:bottom w:w="90" w:type="dxa"/>
              <w:right w:w="90" w:type="dxa"/>
            </w:tcMar>
          </w:tcPr>
          <w:p>
            <w:pPr>
              <w:spacing w:after="40" w:line="276" w:lineRule="auto"/>
            </w:pPr>
            <w:r>
              <w:rPr>
                <w:b w:val="0"/>
                <w:i w:val="0"/>
                <w:sz w:val="18"/>
              </w:rPr>
              <w:t>Calculate expansion headroom from annual demand, availability and storage use</w:t>
            </w:r>
          </w:p>
        </w:tc>
        <w:tc>
          <w:tcPr>
            <w:tcW w:type="dxa" w:w="3342"/>
            <w:vAlign w:val="center"/>
            <w:tcMar>
              <w:top w:w="90" w:type="dxa"/>
              <w:left w:w="90" w:type="dxa"/>
              <w:bottom w:w="90" w:type="dxa"/>
              <w:right w:w="90" w:type="dxa"/>
            </w:tcMar>
          </w:tcPr>
          <w:p>
            <w:pPr>
              <w:spacing w:after="40" w:line="276" w:lineRule="auto"/>
            </w:pPr>
            <w:r>
              <w:rPr>
                <w:rFonts w:ascii="DejaVu Sans Mono" w:hAnsi="DejaVu Sans Mono"/>
                <w:b w:val="0"/>
                <w:i w:val="0"/>
                <w:sz w:val="18"/>
              </w:rPr>
              <w:t>policy.evaluate</w:t>
            </w:r>
            <w:r>
              <w:rPr>
                <w:b w:val="0"/>
                <w:i w:val="0"/>
                <w:sz w:val="18"/>
              </w:rPr>
              <w:t xml:space="preserve"> produces </w:t>
            </w:r>
            <w:r>
              <w:rPr>
                <w:rFonts w:ascii="DejaVu Sans Mono" w:hAnsi="DejaVu Sans Mono"/>
                <w:b w:val="0"/>
                <w:i w:val="0"/>
                <w:sz w:val="18"/>
              </w:rPr>
              <w:t>headroom</w:t>
            </w:r>
          </w:p>
        </w:tc>
        <w:tc>
          <w:tcPr>
            <w:tcW w:type="dxa" w:w="1700"/>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408"/>
            <w:vAlign w:val="center"/>
            <w:tcMar>
              <w:top w:w="90" w:type="dxa"/>
              <w:left w:w="90" w:type="dxa"/>
              <w:bottom w:w="90" w:type="dxa"/>
              <w:right w:w="90" w:type="dxa"/>
            </w:tcMar>
          </w:tcPr>
          <w:p>
            <w:pPr>
              <w:spacing w:after="40" w:line="276" w:lineRule="auto"/>
            </w:pPr>
            <w:r>
              <w:rPr>
                <w:b w:val="0"/>
                <w:i w:val="0"/>
                <w:sz w:val="18"/>
              </w:rPr>
              <w:t>5</w:t>
            </w:r>
          </w:p>
        </w:tc>
        <w:tc>
          <w:tcPr>
            <w:tcW w:type="dxa" w:w="3342"/>
            <w:vAlign w:val="center"/>
            <w:tcMar>
              <w:top w:w="90" w:type="dxa"/>
              <w:left w:w="90" w:type="dxa"/>
              <w:bottom w:w="90" w:type="dxa"/>
              <w:right w:w="90" w:type="dxa"/>
            </w:tcMar>
          </w:tcPr>
          <w:p>
            <w:pPr>
              <w:spacing w:after="40" w:line="276" w:lineRule="auto"/>
            </w:pPr>
            <w:r>
              <w:rPr>
                <w:b w:val="0"/>
                <w:i w:val="0"/>
                <w:sz w:val="18"/>
              </w:rPr>
              <w:t>Evaluate income by owner and technology-region group</w:t>
            </w:r>
          </w:p>
        </w:tc>
        <w:tc>
          <w:tcPr>
            <w:tcW w:type="dxa" w:w="3342"/>
            <w:vAlign w:val="center"/>
            <w:tcMar>
              <w:top w:w="90" w:type="dxa"/>
              <w:left w:w="90" w:type="dxa"/>
              <w:bottom w:w="90" w:type="dxa"/>
              <w:right w:w="90" w:type="dxa"/>
            </w:tcMar>
          </w:tcPr>
          <w:p>
            <w:pPr>
              <w:spacing w:after="40" w:line="276" w:lineRule="auto"/>
            </w:pPr>
            <w:r>
              <w:rPr>
                <w:rFonts w:ascii="DejaVu Sans Mono" w:hAnsi="DejaVu Sans Mono"/>
                <w:b w:val="0"/>
                <w:i w:val="0"/>
                <w:sz w:val="18"/>
              </w:rPr>
              <w:t>adapt_​market_​for_​investment</w:t>
            </w:r>
            <w:r>
              <w:rPr>
                <w:b w:val="0"/>
                <w:i w:val="0"/>
                <w:sz w:val="18"/>
              </w:rPr>
              <w:t xml:space="preserve"> assembles accounts; </w:t>
            </w:r>
            <w:r>
              <w:rPr>
                <w:rFonts w:ascii="DejaVu Sans Mono" w:hAnsi="DejaVu Sans Mono"/>
                <w:b w:val="0"/>
                <w:i w:val="0"/>
                <w:sz w:val="18"/>
              </w:rPr>
              <w:t>investment.decide</w:t>
            </w:r>
            <w:r>
              <w:rPr>
                <w:b w:val="0"/>
                <w:i w:val="0"/>
                <w:sz w:val="18"/>
              </w:rPr>
              <w:t xml:space="preserve"> produces </w:t>
            </w:r>
            <w:r>
              <w:rPr>
                <w:rFonts w:ascii="DejaVu Sans Mono" w:hAnsi="DejaVu Sans Mono"/>
                <w:b w:val="0"/>
                <w:i w:val="0"/>
                <w:sz w:val="18"/>
              </w:rPr>
              <w:t>decision.proposals</w:t>
            </w:r>
          </w:p>
        </w:tc>
        <w:tc>
          <w:tcPr>
            <w:tcW w:type="dxa" w:w="1700"/>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408"/>
            <w:vAlign w:val="center"/>
            <w:tcMar>
              <w:top w:w="90" w:type="dxa"/>
              <w:left w:w="90" w:type="dxa"/>
              <w:bottom w:w="90" w:type="dxa"/>
              <w:right w:w="90" w:type="dxa"/>
            </w:tcMar>
          </w:tcPr>
          <w:p>
            <w:pPr>
              <w:spacing w:after="40" w:line="276" w:lineRule="auto"/>
            </w:pPr>
            <w:r>
              <w:rPr>
                <w:b w:val="0"/>
                <w:i w:val="0"/>
                <w:sz w:val="18"/>
              </w:rPr>
              <w:t>6</w:t>
            </w:r>
          </w:p>
        </w:tc>
        <w:tc>
          <w:tcPr>
            <w:tcW w:type="dxa" w:w="3342"/>
            <w:vAlign w:val="center"/>
            <w:tcMar>
              <w:top w:w="90" w:type="dxa"/>
              <w:left w:w="90" w:type="dxa"/>
              <w:bottom w:w="90" w:type="dxa"/>
              <w:right w:w="90" w:type="dxa"/>
            </w:tcMar>
          </w:tcPr>
          <w:p>
            <w:pPr>
              <w:spacing w:after="40" w:line="276" w:lineRule="auto"/>
            </w:pPr>
            <w:r>
              <w:rPr>
                <w:b w:val="0"/>
                <w:i w:val="0"/>
                <w:sz w:val="18"/>
              </w:rPr>
              <w:t>Admit investment projects using development times and success rates</w:t>
            </w:r>
          </w:p>
        </w:tc>
        <w:tc>
          <w:tcPr>
            <w:tcW w:type="dxa" w:w="3342"/>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planning.admit_projects</w:t>
            </w:r>
            <w:r>
              <w:rPr>
                <w:b w:val="0"/>
                <w:i w:val="0"/>
                <w:sz w:val="18"/>
              </w:rPr>
              <w:t xml:space="preserve"> produces </w:t>
            </w:r>
            <w:r>
              <w:rPr>
                <w:rFonts w:ascii="DejaVu Sans Mono" w:hAnsi="DejaVu Sans Mono"/>
                <w:b w:val="0"/>
                <w:i w:val="0"/>
                <w:sz w:val="18"/>
              </w:rPr>
              <w:t>admission</w:t>
            </w:r>
          </w:p>
        </w:tc>
        <w:tc>
          <w:tcPr>
            <w:tcW w:type="dxa" w:w="1700"/>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408"/>
            <w:vAlign w:val="center"/>
            <w:tcMar>
              <w:top w:w="90" w:type="dxa"/>
              <w:left w:w="90" w:type="dxa"/>
              <w:bottom w:w="90" w:type="dxa"/>
              <w:right w:w="90" w:type="dxa"/>
            </w:tcMar>
          </w:tcPr>
          <w:p>
            <w:pPr>
              <w:spacing w:after="40" w:line="276" w:lineRule="auto"/>
            </w:pPr>
            <w:r>
              <w:rPr>
                <w:b w:val="0"/>
                <w:i w:val="0"/>
                <w:sz w:val="18"/>
              </w:rPr>
              <w:t>7</w:t>
            </w:r>
          </w:p>
        </w:tc>
        <w:tc>
          <w:tcPr>
            <w:tcW w:type="dxa" w:w="3342"/>
            <w:vAlign w:val="center"/>
            <w:tcMar>
              <w:top w:w="90" w:type="dxa"/>
              <w:left w:w="90" w:type="dxa"/>
              <w:bottom w:w="90" w:type="dxa"/>
              <w:right w:w="90" w:type="dxa"/>
            </w:tcMar>
          </w:tcPr>
          <w:p>
            <w:pPr>
              <w:spacing w:after="40" w:line="276" w:lineRule="auto"/>
            </w:pPr>
            <w:r>
              <w:rPr>
                <w:b w:val="0"/>
                <w:i w:val="0"/>
                <w:sz w:val="18"/>
              </w:rPr>
              <w:t>Update asset age, retirement and new projects</w:t>
            </w:r>
          </w:p>
        </w:tc>
        <w:tc>
          <w:tcPr>
            <w:tcW w:type="dxa" w:w="3342"/>
            <w:vAlign w:val="center"/>
            <w:tcMar>
              <w:top w:w="90" w:type="dxa"/>
              <w:left w:w="90" w:type="dxa"/>
              <w:bottom w:w="90" w:type="dxa"/>
              <w:right w:w="90" w:type="dxa"/>
            </w:tcMar>
          </w:tcPr>
          <w:p>
            <w:pPr>
              <w:spacing w:after="40" w:line="276" w:lineRule="auto"/>
            </w:pPr>
            <w:r>
              <w:rPr>
                <w:rFonts w:ascii="DejaVu Sans Mono" w:hAnsi="DejaVu Sans Mono"/>
                <w:b w:val="0"/>
                <w:i w:val="0"/>
                <w:sz w:val="18"/>
              </w:rPr>
              <w:t>transition.apply</w:t>
            </w:r>
            <w:r>
              <w:rPr>
                <w:b w:val="0"/>
                <w:i w:val="0"/>
                <w:sz w:val="18"/>
              </w:rPr>
              <w:t xml:space="preserve"> produces </w:t>
            </w:r>
            <w:r>
              <w:rPr>
                <w:rFonts w:ascii="DejaVu Sans Mono" w:hAnsi="DejaVu Sans Mono"/>
                <w:b w:val="0"/>
                <w:i w:val="0"/>
                <w:sz w:val="18"/>
              </w:rPr>
              <w:t>next_state</w:t>
            </w:r>
          </w:p>
        </w:tc>
        <w:tc>
          <w:tcPr>
            <w:tcW w:type="dxa" w:w="1700"/>
            <w:vAlign w:val="center"/>
            <w:tcMar>
              <w:top w:w="90" w:type="dxa"/>
              <w:left w:w="90" w:type="dxa"/>
              <w:bottom w:w="90" w:type="dxa"/>
              <w:right w:w="90" w:type="dxa"/>
            </w:tcMar>
          </w:tcPr>
          <w:p>
            <w:pPr>
              <w:spacing w:after="40" w:line="276" w:lineRule="auto"/>
            </w:pPr>
            <w:r>
              <w:rPr>
                <w:b w:val="0"/>
                <w:i w:val="0"/>
                <w:sz w:val="18"/>
              </w:rPr>
              <w:t>6</w:t>
            </w:r>
          </w:p>
        </w:tc>
      </w:tr>
    </w:tbl>
    <w:p>
      <w:pPr>
        <w:spacing w:after="20"/>
      </w:pPr>
    </w:p>
    <w:p>
      <w:r>
        <w:rPr>
          <w:b w:val="0"/>
          <w:i w:val="0"/>
        </w:rPr>
        <w:t>Storage inventory updates within operating periods, while cost observations update annually. National operation creates storage objects for each operating year. The previous year's sold energy and dwell time enter the following year's dynamic storage cost. Chapters 4 and 5 specify opening inventory, efficiencies, self-discharge, period power limits and year-end treatment.</w:t>
      </w:r>
    </w:p>
    <w:p>
      <w:r>
        <w:rPr>
          <w:b w:val="0"/>
          <w:i w:val="0"/>
        </w:rPr>
        <w:t>Annual investment uses realised income, total capital expenditure, target payback and preferred return. Gas and biomass investment income deducts operating costs; wind, solar and storage use revenue to calculate investment returns. Chapter 6 gives the cost components, four decision tiers, development times, success rates and asset-update pseudocode.</w:t>
      </w:r>
    </w:p>
    <w:p>
      <w:r>
        <w:rPr>
          <w:b w:val="0"/>
          <w:i w:val="0"/>
        </w:rPr>
        <w:t>Annual outputs sum period results or weight them by electricity volumes. Served energy equals demand less unserved energy, system cost aggregates operating and annualised capital expenditure, and carbon accounting uses generation, imported electricity and equipment capacity. Chapters 5, 6 and 9 define these quantities, their units and denominators.</w:t>
      </w:r>
    </w:p>
    <w:p>
      <w:pPr>
        <w:pStyle w:val="Heading1"/>
      </w:pPr>
      <w:r>
        <w:rPr>
          <w:b w:val="0"/>
          <w:i w:val="0"/>
        </w:rPr>
        <w:t>2 Initial data and input processing</w:t>
      </w:r>
    </w:p>
    <w:p>
      <w:r>
        <w:rPr>
          <w:b w:val="0"/>
          <w:i w:val="0"/>
        </w:rPr>
        <w:t xml:space="preserve">VALUE constructs an electricity-system study from demand, weather, operating assets, planned projects, technology parameters and external-market prices and flow limits. Source years identify the observed samples; the study's start year selects the operating fleet and the subsequent investment calendar. The default </w:t>
      </w:r>
      <w:r>
        <w:rPr>
          <w:rFonts w:ascii="DejaVu Sans Mono" w:hAnsi="DejaVu Sans Mono"/>
          <w:b w:val="0"/>
          <w:i w:val="0"/>
          <w:sz w:val="17"/>
        </w:rPr>
        <w:t>value-corrected</w:t>
      </w:r>
      <w:r>
        <w:rPr>
          <w:b w:val="0"/>
          <w:i w:val="0"/>
        </w:rPr>
        <w:t xml:space="preserve"> configuration reads the following public2 packages, available from the </w:t>
      </w:r>
      <w:r>
        <w:rPr>
          <w:b w:val="0"/>
          <w:i w:val="0"/>
        </w:rPr>
        <w:t>data page</w:t>
      </w:r>
      <w:r>
        <w:rPr>
          <w:b w:val="0"/>
          <w:i w:val="0"/>
        </w:rPr>
        <w:t>.</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12"/>
        <w:gridCol w:w="2968"/>
        <w:gridCol w:w="3412"/>
      </w:tblGrid>
      <w:tr>
        <w:trPr>
          <w:cantSplit/>
          <w:tblHeader w:val="true"/>
        </w:trPr>
        <w:tc>
          <w:tcPr>
            <w:tcW w:type="dxa" w:w="3412"/>
            <w:vAlign w:val="center"/>
            <w:tcMar>
              <w:top w:w="90" w:type="dxa"/>
              <w:left w:w="90" w:type="dxa"/>
              <w:bottom w:w="90" w:type="dxa"/>
              <w:right w:w="90" w:type="dxa"/>
            </w:tcMar>
            <w:shd w:fill="EEEEEE"/>
          </w:tcPr>
          <w:p>
            <w:pPr>
              <w:spacing w:after="40" w:line="276" w:lineRule="auto"/>
            </w:pPr>
            <w:r>
              <w:rPr>
                <w:b/>
                <w:i w:val="0"/>
                <w:sz w:val="18"/>
              </w:rPr>
              <w:t>Study inputs</w:t>
            </w:r>
          </w:p>
        </w:tc>
        <w:tc>
          <w:tcPr>
            <w:tcW w:type="dxa" w:w="2968"/>
            <w:vAlign w:val="center"/>
            <w:tcMar>
              <w:top w:w="90" w:type="dxa"/>
              <w:left w:w="90" w:type="dxa"/>
              <w:bottom w:w="90" w:type="dxa"/>
              <w:right w:w="90" w:type="dxa"/>
            </w:tcMar>
            <w:shd w:fill="EEEEEE"/>
          </w:tcPr>
          <w:p>
            <w:pPr>
              <w:spacing w:after="40" w:line="276" w:lineRule="auto"/>
            </w:pPr>
            <w:r>
              <w:rPr>
                <w:b/>
                <w:i w:val="0"/>
                <w:sz w:val="18"/>
              </w:rPr>
              <w:t>Package</w:t>
            </w:r>
          </w:p>
        </w:tc>
        <w:tc>
          <w:tcPr>
            <w:tcW w:type="dxa" w:w="3412"/>
            <w:vAlign w:val="center"/>
            <w:tcMar>
              <w:top w:w="90" w:type="dxa"/>
              <w:left w:w="90" w:type="dxa"/>
              <w:bottom w:w="90" w:type="dxa"/>
              <w:right w:w="90" w:type="dxa"/>
            </w:tcMar>
            <w:shd w:fill="EEEEEE"/>
          </w:tcPr>
          <w:p>
            <w:pPr>
              <w:spacing w:after="40" w:line="276" w:lineRule="auto"/>
            </w:pPr>
            <w:r>
              <w:rPr>
                <w:b/>
                <w:i w:val="0"/>
                <w:sz w:val="18"/>
              </w:rPr>
              <w:t>Contents</w:t>
            </w:r>
          </w:p>
        </w:tc>
      </w:tr>
      <w:tr>
        <w:trPr>
          <w:cantSplit/>
        </w:trPr>
        <w:tc>
          <w:tcPr>
            <w:tcW w:type="dxa" w:w="3412"/>
            <w:vAlign w:val="center"/>
            <w:tcMar>
              <w:top w:w="90" w:type="dxa"/>
              <w:left w:w="90" w:type="dxa"/>
              <w:bottom w:w="90" w:type="dxa"/>
              <w:right w:w="90" w:type="dxa"/>
            </w:tcMar>
          </w:tcPr>
          <w:p>
            <w:pPr>
              <w:spacing w:after="40" w:line="276" w:lineRule="auto"/>
            </w:pPr>
            <w:r>
              <w:rPr>
                <w:b w:val="0"/>
                <w:i w:val="0"/>
                <w:sz w:val="18"/>
              </w:rPr>
              <w:t>Great Britain, national</w:t>
            </w:r>
          </w:p>
        </w:tc>
        <w:tc>
          <w:tcPr>
            <w:tcW w:type="dxa" w:w="2968"/>
            <w:vAlign w:val="center"/>
            <w:tcMar>
              <w:top w:w="90" w:type="dxa"/>
              <w:left w:w="90" w:type="dxa"/>
              <w:bottom w:w="90" w:type="dxa"/>
              <w:right w:w="90" w:type="dxa"/>
            </w:tcMar>
          </w:tcPr>
          <w:p>
            <w:pPr>
              <w:spacing w:after="40" w:line="276" w:lineRule="auto"/>
            </w:pPr>
            <w:r>
              <w:rPr>
                <w:rFonts w:ascii="DejaVu Sans Mono" w:hAnsi="DejaVu Sans Mono"/>
                <w:b w:val="0"/>
                <w:i w:val="0"/>
                <w:sz w:val="18"/>
              </w:rPr>
              <w:t>value-uk-open-data-pack-public2</w:t>
            </w:r>
          </w:p>
        </w:tc>
        <w:tc>
          <w:tcPr>
            <w:tcW w:type="dxa" w:w="3412"/>
            <w:vAlign w:val="center"/>
            <w:tcMar>
              <w:top w:w="90" w:type="dxa"/>
              <w:left w:w="90" w:type="dxa"/>
              <w:bottom w:w="90" w:type="dxa"/>
              <w:right w:w="90" w:type="dxa"/>
            </w:tcMar>
          </w:tcPr>
          <w:p>
            <w:pPr>
              <w:spacing w:after="40" w:line="276" w:lineRule="auto"/>
            </w:pPr>
            <w:r>
              <w:rPr>
                <w:b w:val="0"/>
                <w:i w:val="0"/>
                <w:sz w:val="18"/>
              </w:rPr>
              <w:t>Demand, representative-point weather, fleet, planning, costs and five external markets</w:t>
            </w:r>
          </w:p>
        </w:tc>
      </w:tr>
      <w:tr>
        <w:trPr>
          <w:cantSplit/>
        </w:trPr>
        <w:tc>
          <w:tcPr>
            <w:tcW w:type="dxa" w:w="3412"/>
            <w:vAlign w:val="center"/>
            <w:tcMar>
              <w:top w:w="90" w:type="dxa"/>
              <w:left w:w="90" w:type="dxa"/>
              <w:bottom w:w="90" w:type="dxa"/>
              <w:right w:w="90" w:type="dxa"/>
            </w:tcMar>
          </w:tcPr>
          <w:p>
            <w:pPr>
              <w:spacing w:after="40" w:line="276" w:lineRule="auto"/>
            </w:pPr>
            <w:r>
              <w:rPr>
                <w:b w:val="0"/>
                <w:i w:val="0"/>
                <w:sz w:val="18"/>
              </w:rPr>
              <w:t>Great Britain, 2025–2034 with calendar-mean weather</w:t>
            </w:r>
          </w:p>
        </w:tc>
        <w:tc>
          <w:tcPr>
            <w:tcW w:type="dxa" w:w="2968"/>
            <w:vAlign w:val="center"/>
            <w:tcMar>
              <w:top w:w="90" w:type="dxa"/>
              <w:left w:w="90" w:type="dxa"/>
              <w:bottom w:w="90" w:type="dxa"/>
              <w:right w:w="90" w:type="dxa"/>
            </w:tcMar>
          </w:tcPr>
          <w:p>
            <w:pPr>
              <w:spacing w:after="40" w:line="276" w:lineRule="auto"/>
            </w:pPr>
            <w:r>
              <w:rPr>
                <w:rFonts w:ascii="DejaVu Sans Mono" w:hAnsi="DejaVu Sans Mono"/>
                <w:b w:val="0"/>
                <w:i w:val="0"/>
                <w:sz w:val="18"/>
              </w:rPr>
              <w:t>value-uk-calendar-vx-trade001-public2</w:t>
            </w:r>
          </w:p>
        </w:tc>
        <w:tc>
          <w:tcPr>
            <w:tcW w:type="dxa" w:w="3412"/>
            <w:vAlign w:val="center"/>
            <w:tcMar>
              <w:top w:w="90" w:type="dxa"/>
              <w:left w:w="90" w:type="dxa"/>
              <w:bottom w:w="90" w:type="dxa"/>
              <w:right w:w="90" w:type="dxa"/>
            </w:tcMar>
          </w:tcPr>
          <w:p>
            <w:pPr>
              <w:spacing w:after="40" w:line="276" w:lineRule="auto"/>
            </w:pPr>
            <w:r>
              <w:rPr>
                <w:b w:val="0"/>
                <w:i w:val="0"/>
                <w:sz w:val="18"/>
              </w:rPr>
              <w:t>R029 configuration with 2022 demand and 2020–2024 weather</w:t>
            </w:r>
          </w:p>
        </w:tc>
      </w:tr>
      <w:tr>
        <w:trPr>
          <w:cantSplit/>
        </w:trPr>
        <w:tc>
          <w:tcPr>
            <w:tcW w:type="dxa" w:w="3412"/>
            <w:vAlign w:val="center"/>
            <w:tcMar>
              <w:top w:w="90" w:type="dxa"/>
              <w:left w:w="90" w:type="dxa"/>
              <w:bottom w:w="90" w:type="dxa"/>
              <w:right w:w="90" w:type="dxa"/>
            </w:tcMar>
          </w:tcPr>
          <w:p>
            <w:pPr>
              <w:spacing w:after="40" w:line="276" w:lineRule="auto"/>
            </w:pPr>
            <w:r>
              <w:rPr>
                <w:b w:val="0"/>
                <w:i w:val="0"/>
                <w:sz w:val="18"/>
              </w:rPr>
              <w:t>Great Britain, 23 zones</w:t>
            </w:r>
          </w:p>
        </w:tc>
        <w:tc>
          <w:tcPr>
            <w:tcW w:type="dxa" w:w="2968"/>
            <w:vAlign w:val="center"/>
            <w:tcMar>
              <w:top w:w="90" w:type="dxa"/>
              <w:left w:w="90" w:type="dxa"/>
              <w:bottom w:w="90" w:type="dxa"/>
              <w:right w:w="90" w:type="dxa"/>
            </w:tcMar>
          </w:tcPr>
          <w:p>
            <w:pPr>
              <w:spacing w:after="40" w:line="276" w:lineRule="auto"/>
            </w:pPr>
            <w:r>
              <w:rPr>
                <w:rFonts w:ascii="DejaVu Sans Mono" w:hAnsi="DejaVu Sans Mono"/>
                <w:b w:val="0"/>
                <w:i w:val="0"/>
                <w:sz w:val="18"/>
              </w:rPr>
              <w:t>value-uk-research-suite-v1-public2</w:t>
            </w:r>
          </w:p>
        </w:tc>
        <w:tc>
          <w:tcPr>
            <w:tcW w:type="dxa" w:w="3412"/>
            <w:vAlign w:val="center"/>
            <w:tcMar>
              <w:top w:w="90" w:type="dxa"/>
              <w:left w:w="90" w:type="dxa"/>
              <w:bottom w:w="90" w:type="dxa"/>
              <w:right w:w="90" w:type="dxa"/>
            </w:tcMar>
          </w:tcPr>
          <w:p>
            <w:pPr>
              <w:spacing w:after="40" w:line="276" w:lineRule="auto"/>
            </w:pPr>
            <w:r>
              <w:rPr>
                <w:b w:val="0"/>
                <w:i w:val="0"/>
                <w:sz w:val="18"/>
              </w:rPr>
              <w:t>National inputs, zonal demand, asset allocation, corridors and external boundaries</w:t>
            </w:r>
          </w:p>
        </w:tc>
      </w:tr>
      <w:tr>
        <w:trPr>
          <w:cantSplit/>
        </w:trPr>
        <w:tc>
          <w:tcPr>
            <w:tcW w:type="dxa" w:w="3412"/>
            <w:vAlign w:val="center"/>
            <w:tcMar>
              <w:top w:w="90" w:type="dxa"/>
              <w:left w:w="90" w:type="dxa"/>
              <w:bottom w:w="90" w:type="dxa"/>
              <w:right w:w="90" w:type="dxa"/>
            </w:tcMar>
          </w:tcPr>
          <w:p>
            <w:pPr>
              <w:spacing w:after="40" w:line="276" w:lineRule="auto"/>
            </w:pPr>
            <w:r>
              <w:rPr>
                <w:b w:val="0"/>
                <w:i w:val="0"/>
                <w:sz w:val="18"/>
              </w:rPr>
              <w:t>VALUE 101</w:t>
            </w:r>
          </w:p>
        </w:tc>
        <w:tc>
          <w:tcPr>
            <w:tcW w:type="dxa" w:w="2968"/>
            <w:vAlign w:val="center"/>
            <w:tcMar>
              <w:top w:w="90" w:type="dxa"/>
              <w:left w:w="90" w:type="dxa"/>
              <w:bottom w:w="90" w:type="dxa"/>
              <w:right w:w="90" w:type="dxa"/>
            </w:tcMar>
          </w:tcPr>
          <w:p>
            <w:pPr>
              <w:spacing w:after="40" w:line="276" w:lineRule="auto"/>
            </w:pPr>
            <w:r>
              <w:rPr>
                <w:b w:val="0"/>
                <w:i w:val="0"/>
                <w:sz w:val="18"/>
              </w:rPr>
              <w:t>Synthetic teaching inputs</w:t>
            </w:r>
          </w:p>
        </w:tc>
        <w:tc>
          <w:tcPr>
            <w:tcW w:type="dxa" w:w="3412"/>
            <w:vAlign w:val="center"/>
            <w:tcMar>
              <w:top w:w="90" w:type="dxa"/>
              <w:left w:w="90" w:type="dxa"/>
              <w:bottom w:w="90" w:type="dxa"/>
              <w:right w:w="90" w:type="dxa"/>
            </w:tcMar>
          </w:tcPr>
          <w:p>
            <w:pPr>
              <w:spacing w:after="40" w:line="276" w:lineRule="auto"/>
            </w:pPr>
            <w:r>
              <w:rPr>
                <w:b w:val="0"/>
                <w:i w:val="0"/>
                <w:sz w:val="18"/>
              </w:rPr>
              <w:t>2025–2026 studies with a full 17,520-period year and a 48-period exercise; generation rules are given below</w:t>
            </w:r>
          </w:p>
        </w:tc>
      </w:tr>
    </w:tbl>
    <w:p>
      <w:pPr>
        <w:spacing w:after="20"/>
      </w:pPr>
    </w:p>
    <w:p>
      <w:r>
        <w:rPr>
          <w:b w:val="0"/>
          <w:i w:val="0"/>
        </w:rPr>
        <w:t xml:space="preserve">Input roles connect files to physical quantities. The package's </w:t>
      </w:r>
      <w:r>
        <w:rPr>
          <w:rFonts w:ascii="DejaVu Sans Mono" w:hAnsi="DejaVu Sans Mono"/>
          <w:b w:val="0"/>
          <w:i w:val="0"/>
          <w:sz w:val="17"/>
        </w:rPr>
        <w:t>manifest.json</w:t>
      </w:r>
      <w:r>
        <w:rPr>
          <w:b w:val="0"/>
          <w:i w:val="0"/>
        </w:rPr>
        <w:t xml:space="preserve"> binds each role to its file and declares its column, unit and temporal resolution. The following table gives the R029 filenames and the variables supplied to the calculations.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60"/>
        <w:gridCol w:w="3566"/>
        <w:gridCol w:w="3566"/>
      </w:tblGrid>
      <w:tr>
        <w:trPr>
          <w:cantSplit/>
          <w:tblHeader w:val="true"/>
        </w:trPr>
        <w:tc>
          <w:tcPr>
            <w:tcW w:type="dxa" w:w="2660"/>
            <w:vAlign w:val="center"/>
            <w:tcMar>
              <w:top w:w="90" w:type="dxa"/>
              <w:left w:w="90" w:type="dxa"/>
              <w:bottom w:w="90" w:type="dxa"/>
              <w:right w:w="90" w:type="dxa"/>
            </w:tcMar>
            <w:shd w:fill="EEEEEE"/>
          </w:tcPr>
          <w:p>
            <w:pPr>
              <w:spacing w:after="40" w:line="276" w:lineRule="auto"/>
            </w:pPr>
            <w:r>
              <w:rPr>
                <w:b/>
                <w:i w:val="0"/>
                <w:sz w:val="18"/>
              </w:rPr>
              <w:t>Input role</w:t>
            </w:r>
          </w:p>
        </w:tc>
        <w:tc>
          <w:tcPr>
            <w:tcW w:type="dxa" w:w="3566"/>
            <w:vAlign w:val="center"/>
            <w:tcMar>
              <w:top w:w="90" w:type="dxa"/>
              <w:left w:w="90" w:type="dxa"/>
              <w:bottom w:w="90" w:type="dxa"/>
              <w:right w:w="90" w:type="dxa"/>
            </w:tcMar>
            <w:shd w:fill="EEEEEE"/>
          </w:tcPr>
          <w:p>
            <w:pPr>
              <w:spacing w:after="40" w:line="276" w:lineRule="auto"/>
            </w:pPr>
            <w:r>
              <w:rPr>
                <w:b/>
                <w:i w:val="0"/>
                <w:sz w:val="18"/>
              </w:rPr>
              <w:t>Main data or fields</w:t>
            </w:r>
          </w:p>
        </w:tc>
        <w:tc>
          <w:tcPr>
            <w:tcW w:type="dxa" w:w="3566"/>
            <w:vAlign w:val="center"/>
            <w:tcMar>
              <w:top w:w="90" w:type="dxa"/>
              <w:left w:w="90" w:type="dxa"/>
              <w:bottom w:w="90" w:type="dxa"/>
              <w:right w:w="90" w:type="dxa"/>
            </w:tcMar>
            <w:shd w:fill="EEEEEE"/>
          </w:tcPr>
          <w:p>
            <w:pPr>
              <w:spacing w:after="40" w:line="276" w:lineRule="auto"/>
            </w:pPr>
            <w:r>
              <w:rPr>
                <w:b/>
                <w:i w:val="0"/>
                <w:sz w:val="18"/>
              </w:rPr>
              <w:t>Computational use</w:t>
            </w:r>
          </w:p>
        </w:tc>
      </w:tr>
      <w:tr>
        <w:trPr>
          <w:cantSplit/>
        </w:trPr>
        <w:tc>
          <w:tcPr>
            <w:tcW w:type="dxa" w:w="2660"/>
            <w:vAlign w:val="center"/>
            <w:tcMar>
              <w:top w:w="90" w:type="dxa"/>
              <w:left w:w="90" w:type="dxa"/>
              <w:bottom w:w="90" w:type="dxa"/>
              <w:right w:w="90" w:type="dxa"/>
            </w:tcMar>
          </w:tcPr>
          <w:p>
            <w:pPr>
              <w:spacing w:after="40" w:line="276" w:lineRule="auto"/>
            </w:pPr>
            <w:r>
              <w:rPr>
                <w:b w:val="0"/>
                <w:i w:val="0"/>
                <w:sz w:val="18"/>
              </w:rPr>
              <w:t>Actual and forecast demand</w:t>
            </w:r>
          </w:p>
        </w:tc>
        <w:tc>
          <w:tcPr>
            <w:tcW w:type="dxa" w:w="3566"/>
            <w:vAlign w:val="center"/>
            <w:tcMar>
              <w:top w:w="90" w:type="dxa"/>
              <w:left w:w="90" w:type="dxa"/>
              <w:bottom w:w="90" w:type="dxa"/>
              <w:right w:w="90" w:type="dxa"/>
            </w:tcMar>
          </w:tcPr>
          <w:p>
            <w:pPr>
              <w:spacing w:after="40" w:line="276" w:lineRule="auto"/>
            </w:pPr>
            <w:r>
              <w:rPr>
                <w:rFonts w:ascii="DejaVu Sans Mono" w:hAnsi="DejaVu Sans Mono"/>
                <w:b w:val="0"/>
                <w:i w:val="0"/>
                <w:sz w:val="18"/>
              </w:rPr>
              <w:t>demand_mw</w:t>
            </w:r>
            <w:r>
              <w:rPr>
                <w:b w:val="0"/>
                <w:i w:val="0"/>
                <w:sz w:val="18"/>
              </w:rPr>
              <w:t xml:space="preserve"> in </w:t>
            </w:r>
            <w:r>
              <w:rPr>
                <w:rFonts w:ascii="DejaVu Sans Mono" w:hAnsi="DejaVu Sans Mono"/>
                <w:b w:val="0"/>
                <w:i w:val="0"/>
                <w:sz w:val="18"/>
              </w:rPr>
              <w:t>actual_mw.csv</w:t>
            </w:r>
            <w:r>
              <w:rPr>
                <w:b w:val="0"/>
                <w:i w:val="0"/>
                <w:sz w:val="18"/>
              </w:rPr>
              <w:t xml:space="preserve">; </w:t>
            </w:r>
            <w:r>
              <w:rPr>
                <w:rFonts w:ascii="DejaVu Sans Mono" w:hAnsi="DejaVu Sans Mono"/>
                <w:b w:val="0"/>
                <w:i w:val="0"/>
                <w:sz w:val="18"/>
              </w:rPr>
              <w:t>forecast_mw</w:t>
            </w:r>
            <w:r>
              <w:rPr>
                <w:b w:val="0"/>
                <w:i w:val="0"/>
                <w:sz w:val="18"/>
              </w:rPr>
              <w:t xml:space="preserve"> in </w:t>
            </w:r>
            <w:r>
              <w:rPr>
                <w:rFonts w:ascii="DejaVu Sans Mono" w:hAnsi="DejaVu Sans Mono"/>
                <w:b w:val="0"/>
                <w:i w:val="0"/>
                <w:sz w:val="18"/>
              </w:rPr>
              <w:t>forecast_mw.csv</w:t>
            </w:r>
          </w:p>
        </w:tc>
        <w:tc>
          <w:tcPr>
            <w:tcW w:type="dxa" w:w="3566"/>
            <w:vAlign w:val="center"/>
            <w:tcMar>
              <w:top w:w="90" w:type="dxa"/>
              <w:left w:w="90" w:type="dxa"/>
              <w:bottom w:w="90" w:type="dxa"/>
              <w:right w:w="90" w:type="dxa"/>
            </w:tcMar>
          </w:tcPr>
          <w:p>
            <w:pPr>
              <w:spacing w:after="40" w:line="276" w:lineRule="auto"/>
            </w:pPr>
            <w:r>
              <w:rPr>
                <w:b w:val="0"/>
                <w:i w:val="0"/>
                <w:sz w:val="18"/>
              </w:rPr>
              <w:t>Real-time balancing, day-ahead clearing and demand error</w:t>
            </w:r>
          </w:p>
        </w:tc>
      </w:tr>
      <w:tr>
        <w:trPr>
          <w:cantSplit/>
        </w:trPr>
        <w:tc>
          <w:tcPr>
            <w:tcW w:type="dxa" w:w="2660"/>
            <w:vAlign w:val="center"/>
            <w:tcMar>
              <w:top w:w="90" w:type="dxa"/>
              <w:left w:w="90" w:type="dxa"/>
              <w:bottom w:w="90" w:type="dxa"/>
              <w:right w:w="90" w:type="dxa"/>
            </w:tcMar>
          </w:tcPr>
          <w:p>
            <w:pPr>
              <w:spacing w:after="40" w:line="276" w:lineRule="auto"/>
            </w:pPr>
            <w:r>
              <w:rPr>
                <w:b w:val="0"/>
                <w:i w:val="0"/>
                <w:sz w:val="18"/>
              </w:rPr>
              <w:t>Fleet and initial assets</w:t>
            </w:r>
          </w:p>
        </w:tc>
        <w:tc>
          <w:tcPr>
            <w:tcW w:type="dxa" w:w="3566"/>
            <w:vAlign w:val="center"/>
            <w:tcMar>
              <w:top w:w="90" w:type="dxa"/>
              <w:left w:w="90" w:type="dxa"/>
              <w:bottom w:w="90" w:type="dxa"/>
              <w:right w:w="90" w:type="dxa"/>
            </w:tcMar>
          </w:tcPr>
          <w:p>
            <w:pPr>
              <w:spacing w:after="40" w:line="276" w:lineRule="auto"/>
            </w:pPr>
            <w:r>
              <w:rPr>
                <w:rFonts w:ascii="DejaVu Sans Mono" w:hAnsi="DejaVu Sans Mono"/>
                <w:b w:val="0"/>
                <w:i w:val="0"/>
                <w:sz w:val="18"/>
              </w:rPr>
              <w:t>fleet.json</w:t>
            </w:r>
            <w:r>
              <w:rPr>
                <w:b w:val="0"/>
                <w:i w:val="0"/>
                <w:sz w:val="18"/>
              </w:rPr>
              <w:t xml:space="preserve">, annual </w:t>
            </w:r>
            <w:r>
              <w:rPr>
                <w:rFonts w:ascii="DejaVu Sans Mono" w:hAnsi="DejaVu Sans Mono"/>
                <w:b w:val="0"/>
                <w:i w:val="0"/>
                <w:sz w:val="18"/>
              </w:rPr>
              <w:t>operating_state</w:t>
            </w:r>
          </w:p>
        </w:tc>
        <w:tc>
          <w:tcPr>
            <w:tcW w:type="dxa" w:w="3566"/>
            <w:vAlign w:val="center"/>
            <w:tcMar>
              <w:top w:w="90" w:type="dxa"/>
              <w:left w:w="90" w:type="dxa"/>
              <w:bottom w:w="90" w:type="dxa"/>
              <w:right w:w="90" w:type="dxa"/>
            </w:tcMar>
          </w:tcPr>
          <w:p>
            <w:pPr>
              <w:spacing w:after="40" w:line="276" w:lineRule="auto"/>
            </w:pPr>
            <w:r>
              <w:rPr>
                <w:b w:val="0"/>
                <w:i w:val="0"/>
                <w:sz w:val="18"/>
              </w:rPr>
              <w:t>Technology parameters, representative locations and dispatch capacities</w:t>
            </w:r>
          </w:p>
        </w:tc>
      </w:tr>
      <w:tr>
        <w:trPr>
          <w:cantSplit/>
        </w:trPr>
        <w:tc>
          <w:tcPr>
            <w:tcW w:type="dxa" w:w="2660"/>
            <w:vAlign w:val="center"/>
            <w:tcMar>
              <w:top w:w="90" w:type="dxa"/>
              <w:left w:w="90" w:type="dxa"/>
              <w:bottom w:w="90" w:type="dxa"/>
              <w:right w:w="90" w:type="dxa"/>
            </w:tcMar>
          </w:tcPr>
          <w:p>
            <w:pPr>
              <w:spacing w:after="40" w:line="276" w:lineRule="auto"/>
            </w:pPr>
            <w:r>
              <w:rPr>
                <w:b w:val="0"/>
                <w:i w:val="0"/>
                <w:sz w:val="18"/>
              </w:rPr>
              <w:t>Projects and planning</w:t>
            </w:r>
          </w:p>
        </w:tc>
        <w:tc>
          <w:tcPr>
            <w:tcW w:type="dxa" w:w="3566"/>
            <w:vAlign w:val="center"/>
            <w:tcMar>
              <w:top w:w="90" w:type="dxa"/>
              <w:left w:w="90" w:type="dxa"/>
              <w:bottom w:w="90" w:type="dxa"/>
              <w:right w:w="90" w:type="dxa"/>
            </w:tcMar>
          </w:tcPr>
          <w:p>
            <w:pPr>
              <w:spacing w:after="40" w:line="276" w:lineRule="auto"/>
            </w:pPr>
            <w:r>
              <w:rPr>
                <w:rFonts w:ascii="DejaVu Sans Mono" w:hAnsi="DejaVu Sans Mono"/>
                <w:b w:val="0"/>
                <w:i w:val="0"/>
                <w:sz w:val="18"/>
              </w:rPr>
              <w:t>repd_​projects_​normalized.csv</w:t>
            </w:r>
            <w:r>
              <w:rPr>
                <w:b w:val="0"/>
                <w:i w:val="0"/>
                <w:sz w:val="18"/>
              </w:rPr>
              <w:t xml:space="preserve">, </w:t>
            </w:r>
            <w:r>
              <w:rPr>
                <w:rFonts w:ascii="DejaVu Sans Mono" w:hAnsi="DejaVu Sans Mono"/>
                <w:b w:val="0"/>
                <w:i w:val="0"/>
                <w:sz w:val="18"/>
              </w:rPr>
              <w:t>regional_​technology_​success_​rates.csv</w:t>
            </w:r>
            <w:r>
              <w:rPr>
                <w:b w:val="0"/>
                <w:i w:val="0"/>
                <w:sz w:val="18"/>
              </w:rPr>
              <w:t xml:space="preserve">, </w:t>
            </w:r>
            <w:r>
              <w:rPr>
                <w:rFonts w:ascii="DejaVu Sans Mono" w:hAnsi="DejaVu Sans Mono"/>
                <w:b w:val="0"/>
                <w:i w:val="0"/>
                <w:sz w:val="18"/>
              </w:rPr>
              <w:t>planning_timelines.json</w:t>
            </w:r>
          </w:p>
        </w:tc>
        <w:tc>
          <w:tcPr>
            <w:tcW w:type="dxa" w:w="3566"/>
            <w:vAlign w:val="center"/>
            <w:tcMar>
              <w:top w:w="90" w:type="dxa"/>
              <w:left w:w="90" w:type="dxa"/>
              <w:bottom w:w="90" w:type="dxa"/>
              <w:right w:w="90" w:type="dxa"/>
            </w:tcMar>
          </w:tcPr>
          <w:p>
            <w:pPr>
              <w:spacing w:after="40" w:line="276" w:lineRule="auto"/>
            </w:pPr>
            <w:r>
              <w:rPr>
                <w:b w:val="0"/>
                <w:i w:val="0"/>
                <w:sz w:val="18"/>
              </w:rPr>
              <w:t>Initial operational assets, project success rates and stage durations</w:t>
            </w:r>
          </w:p>
        </w:tc>
      </w:tr>
      <w:tr>
        <w:trPr>
          <w:cantSplit/>
        </w:trPr>
        <w:tc>
          <w:tcPr>
            <w:tcW w:type="dxa" w:w="2660"/>
            <w:vAlign w:val="center"/>
            <w:tcMar>
              <w:top w:w="90" w:type="dxa"/>
              <w:left w:w="90" w:type="dxa"/>
              <w:bottom w:w="90" w:type="dxa"/>
              <w:right w:w="90" w:type="dxa"/>
            </w:tcMar>
          </w:tcPr>
          <w:p>
            <w:pPr>
              <w:spacing w:after="40" w:line="276" w:lineRule="auto"/>
            </w:pPr>
            <w:r>
              <w:rPr>
                <w:b w:val="0"/>
                <w:i w:val="0"/>
                <w:sz w:val="18"/>
              </w:rPr>
              <w:t>Weather</w:t>
            </w:r>
          </w:p>
        </w:tc>
        <w:tc>
          <w:tcPr>
            <w:tcW w:type="dxa" w:w="3566"/>
            <w:vAlign w:val="center"/>
            <w:tcMar>
              <w:top w:w="90" w:type="dxa"/>
              <w:left w:w="90" w:type="dxa"/>
              <w:bottom w:w="90" w:type="dxa"/>
              <w:right w:w="90" w:type="dxa"/>
            </w:tcMar>
          </w:tcPr>
          <w:p>
            <w:pPr>
              <w:spacing w:after="40" w:line="276" w:lineRule="auto"/>
            </w:pPr>
            <w:r>
              <w:rPr>
                <w:rFonts w:ascii="DejaVu Sans Mono" w:hAnsi="DejaVu Sans Mono"/>
                <w:b w:val="0"/>
                <w:i w:val="0"/>
                <w:sz w:val="18"/>
              </w:rPr>
              <w:t>calendar_​mean_​solar_​2020_​2024.nc</w:t>
            </w:r>
            <w:r>
              <w:rPr>
                <w:b w:val="0"/>
                <w:i w:val="0"/>
                <w:sz w:val="18"/>
              </w:rPr>
              <w:t xml:space="preserve">, </w:t>
            </w:r>
            <w:r>
              <w:rPr>
                <w:rFonts w:ascii="DejaVu Sans Mono" w:hAnsi="DejaVu Sans Mono"/>
                <w:b w:val="0"/>
                <w:i w:val="0"/>
                <w:sz w:val="18"/>
              </w:rPr>
              <w:t>calendar_​mean_​wind_​2020_​2024.nc</w:t>
            </w:r>
          </w:p>
        </w:tc>
        <w:tc>
          <w:tcPr>
            <w:tcW w:type="dxa" w:w="3566"/>
            <w:vAlign w:val="center"/>
            <w:tcMar>
              <w:top w:w="90" w:type="dxa"/>
              <w:left w:w="90" w:type="dxa"/>
              <w:bottom w:w="90" w:type="dxa"/>
              <w:right w:w="90" w:type="dxa"/>
            </w:tcMar>
          </w:tcPr>
          <w:p>
            <w:pPr>
              <w:spacing w:after="40" w:line="276" w:lineRule="auto"/>
            </w:pPr>
            <w:r>
              <w:rPr>
                <w:b w:val="0"/>
                <w:i w:val="0"/>
                <w:sz w:val="18"/>
              </w:rPr>
              <w:t>Available wind and solar generation at representative points</w:t>
            </w:r>
          </w:p>
        </w:tc>
      </w:tr>
      <w:tr>
        <w:trPr>
          <w:cantSplit/>
        </w:trPr>
        <w:tc>
          <w:tcPr>
            <w:tcW w:type="dxa" w:w="2660"/>
            <w:vAlign w:val="center"/>
            <w:tcMar>
              <w:top w:w="90" w:type="dxa"/>
              <w:left w:w="90" w:type="dxa"/>
              <w:bottom w:w="90" w:type="dxa"/>
              <w:right w:w="90" w:type="dxa"/>
            </w:tcMar>
          </w:tcPr>
          <w:p>
            <w:pPr>
              <w:spacing w:after="40" w:line="276" w:lineRule="auto"/>
            </w:pPr>
            <w:r>
              <w:rPr>
                <w:b w:val="0"/>
                <w:i w:val="0"/>
                <w:sz w:val="18"/>
              </w:rPr>
              <w:t>Technology-average profiles</w:t>
            </w:r>
          </w:p>
        </w:tc>
        <w:tc>
          <w:tcPr>
            <w:tcW w:type="dxa" w:w="3566"/>
            <w:vAlign w:val="center"/>
            <w:tcMar>
              <w:top w:w="90" w:type="dxa"/>
              <w:left w:w="90" w:type="dxa"/>
              <w:bottom w:w="90" w:type="dxa"/>
              <w:right w:w="90" w:type="dxa"/>
            </w:tcMar>
          </w:tcPr>
          <w:p>
            <w:pPr>
              <w:spacing w:after="40" w:line="276" w:lineRule="auto"/>
            </w:pPr>
            <w:r>
              <w:rPr>
                <w:rFonts w:ascii="DejaVu Sans Mono" w:hAnsi="DejaVu Sans Mono"/>
                <w:b w:val="0"/>
                <w:i w:val="0"/>
                <w:sz w:val="18"/>
              </w:rPr>
              <w:t>sa.csv</w:t>
            </w:r>
            <w:r>
              <w:rPr>
                <w:b w:val="0"/>
                <w:i w:val="0"/>
                <w:sz w:val="18"/>
              </w:rPr>
              <w:t xml:space="preserve">, </w:t>
            </w:r>
            <w:r>
              <w:rPr>
                <w:rFonts w:ascii="DejaVu Sans Mono" w:hAnsi="DejaVu Sans Mono"/>
                <w:b w:val="0"/>
                <w:i w:val="0"/>
                <w:sz w:val="18"/>
              </w:rPr>
              <w:t>wa.csv</w:t>
            </w:r>
            <w:r>
              <w:rPr>
                <w:b w:val="0"/>
                <w:i w:val="0"/>
                <w:sz w:val="18"/>
              </w:rPr>
              <w:t xml:space="preserve">, </w:t>
            </w:r>
            <w:r>
              <w:rPr>
                <w:rFonts w:ascii="DejaVu Sans Mono" w:hAnsi="DejaVu Sans Mono"/>
                <w:b w:val="0"/>
                <w:i w:val="0"/>
                <w:sz w:val="18"/>
              </w:rPr>
              <w:t>we.csv</w:t>
            </w:r>
          </w:p>
        </w:tc>
        <w:tc>
          <w:tcPr>
            <w:tcW w:type="dxa" w:w="3566"/>
            <w:vAlign w:val="center"/>
            <w:tcMar>
              <w:top w:w="90" w:type="dxa"/>
              <w:left w:w="90" w:type="dxa"/>
              <w:bottom w:w="90" w:type="dxa"/>
              <w:right w:w="90" w:type="dxa"/>
            </w:tcMar>
          </w:tcPr>
          <w:p>
            <w:pPr>
              <w:spacing w:after="40" w:line="276" w:lineRule="auto"/>
            </w:pPr>
            <w:r>
              <w:rPr>
                <w:b w:val="0"/>
                <w:i w:val="0"/>
                <w:sz w:val="18"/>
              </w:rPr>
              <w:t>Technology-average investment inputs for solar, onshore wind and offshore wind</w:t>
            </w:r>
          </w:p>
        </w:tc>
      </w:tr>
      <w:tr>
        <w:trPr>
          <w:cantSplit/>
        </w:trPr>
        <w:tc>
          <w:tcPr>
            <w:tcW w:type="dxa" w:w="2660"/>
            <w:vAlign w:val="center"/>
            <w:tcMar>
              <w:top w:w="90" w:type="dxa"/>
              <w:left w:w="90" w:type="dxa"/>
              <w:bottom w:w="90" w:type="dxa"/>
              <w:right w:w="90" w:type="dxa"/>
            </w:tcMar>
          </w:tcPr>
          <w:p>
            <w:pPr>
              <w:spacing w:after="40" w:line="276" w:lineRule="auto"/>
            </w:pPr>
            <w:r>
              <w:rPr>
                <w:b w:val="0"/>
                <w:i w:val="0"/>
                <w:sz w:val="18"/>
              </w:rPr>
              <w:t>Capital and policy</w:t>
            </w:r>
          </w:p>
        </w:tc>
        <w:tc>
          <w:tcPr>
            <w:tcW w:type="dxa" w:w="3566"/>
            <w:vAlign w:val="center"/>
            <w:tcMar>
              <w:top w:w="90" w:type="dxa"/>
              <w:left w:w="90" w:type="dxa"/>
              <w:bottom w:w="90" w:type="dxa"/>
              <w:right w:w="90" w:type="dxa"/>
            </w:tcMar>
          </w:tcPr>
          <w:p>
            <w:pPr>
              <w:spacing w:after="40" w:line="276" w:lineRule="auto"/>
            </w:pPr>
            <w:r>
              <w:rPr>
                <w:rFonts w:ascii="DejaVu Sans Mono" w:hAnsi="DejaVu Sans Mono"/>
                <w:b w:val="0"/>
                <w:i w:val="0"/>
                <w:sz w:val="18"/>
              </w:rPr>
              <w:t>capital_costs.json</w:t>
            </w:r>
            <w:r>
              <w:rPr>
                <w:b w:val="0"/>
                <w:i w:val="0"/>
                <w:sz w:val="18"/>
              </w:rPr>
              <w:t xml:space="preserve">, </w:t>
            </w:r>
            <w:r>
              <w:rPr>
                <w:rFonts w:ascii="DejaVu Sans Mono" w:hAnsi="DejaVu Sans Mono"/>
                <w:b w:val="0"/>
                <w:i w:val="0"/>
                <w:sz w:val="18"/>
              </w:rPr>
              <w:t>model_parameters.json</w:t>
            </w:r>
            <w:r>
              <w:rPr>
                <w:b w:val="0"/>
                <w:i w:val="0"/>
                <w:sz w:val="18"/>
              </w:rPr>
              <w:t xml:space="preserve">, </w:t>
            </w:r>
            <w:r>
              <w:rPr>
                <w:rFonts w:ascii="DejaVu Sans Mono" w:hAnsi="DejaVu Sans Mono"/>
                <w:b w:val="0"/>
                <w:i w:val="0"/>
                <w:sz w:val="18"/>
              </w:rPr>
              <w:t>mechansim cost.xlsx</w:t>
            </w:r>
          </w:p>
        </w:tc>
        <w:tc>
          <w:tcPr>
            <w:tcW w:type="dxa" w:w="3566"/>
            <w:vAlign w:val="center"/>
            <w:tcMar>
              <w:top w:w="90" w:type="dxa"/>
              <w:left w:w="90" w:type="dxa"/>
              <w:bottom w:w="90" w:type="dxa"/>
              <w:right w:w="90" w:type="dxa"/>
            </w:tcMar>
          </w:tcPr>
          <w:p>
            <w:pPr>
              <w:spacing w:after="40" w:line="276" w:lineRule="auto"/>
            </w:pPr>
            <w:r>
              <w:rPr>
                <w:b w:val="0"/>
                <w:i w:val="0"/>
                <w:sz w:val="18"/>
              </w:rPr>
              <w:t>Investment costs, financial parameters and policy expenditure</w:t>
            </w:r>
          </w:p>
        </w:tc>
      </w:tr>
      <w:tr>
        <w:trPr>
          <w:cantSplit/>
        </w:trPr>
        <w:tc>
          <w:tcPr>
            <w:tcW w:type="dxa" w:w="2660"/>
            <w:vAlign w:val="center"/>
            <w:tcMar>
              <w:top w:w="90" w:type="dxa"/>
              <w:left w:w="90" w:type="dxa"/>
              <w:bottom w:w="90" w:type="dxa"/>
              <w:right w:w="90" w:type="dxa"/>
            </w:tcMar>
          </w:tcPr>
          <w:p>
            <w:pPr>
              <w:spacing w:after="40" w:line="276" w:lineRule="auto"/>
            </w:pPr>
            <w:r>
              <w:rPr>
                <w:b w:val="0"/>
                <w:i w:val="0"/>
                <w:sz w:val="18"/>
              </w:rPr>
              <w:t>External markets</w:t>
            </w:r>
          </w:p>
        </w:tc>
        <w:tc>
          <w:tcPr>
            <w:tcW w:type="dxa" w:w="3566"/>
            <w:vAlign w:val="center"/>
            <w:tcMar>
              <w:top w:w="90" w:type="dxa"/>
              <w:left w:w="90" w:type="dxa"/>
              <w:bottom w:w="90" w:type="dxa"/>
              <w:right w:w="90" w:type="dxa"/>
            </w:tcMar>
          </w:tcPr>
          <w:p>
            <w:pPr>
              <w:spacing w:after="40" w:line="276" w:lineRule="auto"/>
            </w:pPr>
            <w:r>
              <w:rPr>
                <w:b w:val="0"/>
                <w:i w:val="0"/>
                <w:sz w:val="18"/>
              </w:rPr>
              <w:t xml:space="preserve">Country-specific </w:t>
            </w:r>
            <w:r>
              <w:rPr>
                <w:rFonts w:ascii="DejaVu Sans Mono" w:hAnsi="DejaVu Sans Mono"/>
                <w:b w:val="0"/>
                <w:i w:val="0"/>
                <w:sz w:val="18"/>
              </w:rPr>
              <w:t>flow_mw</w:t>
            </w:r>
            <w:r>
              <w:rPr>
                <w:b w:val="0"/>
                <w:i w:val="0"/>
                <w:sz w:val="18"/>
              </w:rPr>
              <w:t xml:space="preserve">, </w:t>
            </w:r>
            <w:r>
              <w:rPr>
                <w:rFonts w:ascii="DejaVu Sans Mono" w:hAnsi="DejaVu Sans Mono"/>
                <w:b w:val="0"/>
                <w:i w:val="0"/>
                <w:sz w:val="18"/>
              </w:rPr>
              <w:t>price_gbp_per_mwh</w:t>
            </w:r>
          </w:p>
        </w:tc>
        <w:tc>
          <w:tcPr>
            <w:tcW w:type="dxa" w:w="3566"/>
            <w:vAlign w:val="center"/>
            <w:tcMar>
              <w:top w:w="90" w:type="dxa"/>
              <w:left w:w="90" w:type="dxa"/>
              <w:bottom w:w="90" w:type="dxa"/>
              <w:right w:w="90" w:type="dxa"/>
            </w:tcMar>
          </w:tcPr>
          <w:p>
            <w:pPr>
              <w:spacing w:after="40" w:line="276" w:lineRule="auto"/>
            </w:pPr>
            <w:r>
              <w:rPr>
                <w:b w:val="0"/>
                <w:i w:val="0"/>
                <w:sz w:val="18"/>
              </w:rPr>
              <w:t>Available interconnector exchanges and external offers</w:t>
            </w:r>
          </w:p>
        </w:tc>
      </w:tr>
      <w:tr>
        <w:trPr>
          <w:cantSplit/>
        </w:trPr>
        <w:tc>
          <w:tcPr>
            <w:tcW w:type="dxa" w:w="2660"/>
            <w:vAlign w:val="center"/>
            <w:tcMar>
              <w:top w:w="90" w:type="dxa"/>
              <w:left w:w="90" w:type="dxa"/>
              <w:bottom w:w="90" w:type="dxa"/>
              <w:right w:w="90" w:type="dxa"/>
            </w:tcMar>
          </w:tcPr>
          <w:p>
            <w:pPr>
              <w:spacing w:after="40" w:line="276" w:lineRule="auto"/>
            </w:pPr>
            <w:r>
              <w:rPr>
                <w:b w:val="0"/>
                <w:i w:val="0"/>
                <w:sz w:val="18"/>
              </w:rPr>
              <w:t>Zonal network</w:t>
            </w:r>
          </w:p>
        </w:tc>
        <w:tc>
          <w:tcPr>
            <w:tcW w:type="dxa" w:w="3566"/>
            <w:vAlign w:val="center"/>
            <w:tcMar>
              <w:top w:w="90" w:type="dxa"/>
              <w:left w:w="90" w:type="dxa"/>
              <w:bottom w:w="90" w:type="dxa"/>
              <w:right w:w="90" w:type="dxa"/>
            </w:tcMar>
          </w:tcPr>
          <w:p>
            <w:pPr>
              <w:spacing w:after="40" w:line="276" w:lineRule="auto"/>
            </w:pPr>
            <w:r>
              <w:rPr>
                <w:b w:val="0"/>
                <w:i w:val="0"/>
                <w:sz w:val="18"/>
              </w:rPr>
              <w:t>Zones, corridors, boundaries, asset mapping and zonal demand</w:t>
            </w:r>
          </w:p>
        </w:tc>
        <w:tc>
          <w:tcPr>
            <w:tcW w:type="dxa" w:w="3566"/>
            <w:vAlign w:val="center"/>
            <w:tcMar>
              <w:top w:w="90" w:type="dxa"/>
              <w:left w:w="90" w:type="dxa"/>
              <w:bottom w:w="90" w:type="dxa"/>
              <w:right w:w="90" w:type="dxa"/>
            </w:tcMar>
          </w:tcPr>
          <w:p>
            <w:pPr>
              <w:spacing w:after="40" w:line="276" w:lineRule="auto"/>
            </w:pPr>
            <w:r>
              <w:rPr>
                <w:b w:val="0"/>
                <w:i w:val="0"/>
                <w:sz w:val="18"/>
              </w:rPr>
              <w:t>Spatial supply–demand balance and transmission constraints</w:t>
            </w:r>
          </w:p>
        </w:tc>
      </w:tr>
    </w:tbl>
    <w:p>
      <w:pPr>
        <w:spacing w:after="20"/>
      </w:pPr>
    </w:p>
    <w:p>
      <w:pPr>
        <w:pStyle w:val="Heading2"/>
      </w:pPr>
      <w:r>
        <w:rPr>
          <w:b w:val="0"/>
          <w:i w:val="0"/>
        </w:rPr>
        <w:t>Model clock and units</w:t>
      </w:r>
    </w:p>
    <w:p>
      <w:r>
        <w:rPr>
          <w:b w:val="0"/>
          <w:i w:val="0"/>
        </w:rPr>
        <w:t xml:space="preserve">The operating year contains 17,520 half-hours on a 365-day UTC calendar. Period zero starts at 00:00 on 1 January; February contains 28 days. Asset capacity is measured in MW, stored energy in MWh, money in GBP and electricity price in GBP/MWh. The </w:t>
      </w:r>
      <w:r>
        <w:rPr>
          <w:rFonts w:ascii="DejaVu Sans Mono" w:hAnsi="DejaVu Sans Mono"/>
          <w:b w:val="0"/>
          <w:i w:val="0"/>
          <w:sz w:val="17"/>
        </w:rPr>
        <w:t>period_start_utc</w:t>
      </w:r>
      <w:r>
        <w:rPr>
          <w:b w:val="0"/>
          <w:i w:val="0"/>
        </w:rPr>
        <w:t xml:space="preserve"> function assigns each period its calendar time.</w:t>
      </w:r>
    </w:p>
    <w:p>
      <w:pPr>
        <w:keepNext/>
      </w:pPr>
      <w:r>
        <w:rPr>
          <w:b w:val="0"/>
          <w:i w:val="0"/>
        </w:rPr>
        <w:t xml:space="preserve">Demand enters as power in MW. The default national algorithm passes the values from </w:t>
      </w:r>
      <w:r>
        <w:rPr>
          <w:rFonts w:ascii="DejaVu Sans Mono" w:hAnsi="DejaVu Sans Mono"/>
          <w:b w:val="0"/>
          <w:i w:val="0"/>
          <w:sz w:val="17"/>
        </w:rPr>
        <w:t>read_role</w:t>
      </w:r>
      <w:r>
        <w:rPr>
          <w:b w:val="0"/>
          <w:i w:val="0"/>
        </w:rPr>
        <w:t xml:space="preserve"> through </w:t>
      </w:r>
      <w:r>
        <w:rPr>
          <w:rFonts w:ascii="DejaVu Sans Mono" w:hAnsi="DejaVu Sans Mono"/>
          <w:b w:val="0"/>
          <w:i w:val="0"/>
          <w:sz w:val="17"/>
        </w:rPr>
        <w:t>_kernel_inputs</w:t>
      </w:r>
      <w:r>
        <w:rPr>
          <w:b w:val="0"/>
          <w:i w:val="0"/>
        </w:rPr>
        <w:t xml:space="preserve"> to </w:t>
      </w:r>
      <w:r>
        <w:rPr>
          <w:rFonts w:ascii="DejaVu Sans Mono" w:hAnsi="DejaVu Sans Mono"/>
          <w:b w:val="0"/>
          <w:i w:val="0"/>
          <w:sz w:val="17"/>
        </w:rPr>
        <w:t>run_simulation</w:t>
      </w:r>
      <w:r>
        <w:rPr>
          <w:b w:val="0"/>
          <w:i w:val="0"/>
        </w:rPr>
        <w:t xml:space="preserve"> in MW. The staged and optimisation interfaces use </w:t>
      </w:r>
      <w:r>
        <w:rPr>
          <w:rFonts w:ascii="DejaVu Sans Mono" w:hAnsi="DejaVu Sans Mono"/>
          <w:b w:val="0"/>
          <w:i w:val="0"/>
          <w:sz w:val="17"/>
        </w:rPr>
        <w:t>build_chronology</w:t>
      </w:r>
      <w:r>
        <w:rPr>
          <w:b w:val="0"/>
          <w:i w:val="0"/>
        </w:rPr>
        <w:t xml:space="preserve"> in </w:t>
      </w:r>
      <w:r>
        <w:rPr>
          <w:rFonts w:ascii="DejaVu Sans Mono" w:hAnsi="DejaVu Sans Mono"/>
          <w:b w:val="0"/>
          <w:i w:val="0"/>
          <w:sz w:val="17"/>
        </w:rPr>
        <w:t>canonical_psm_data</w:t>
      </w:r>
      <w:r>
        <w:rPr>
          <w:b w:val="0"/>
          <w:i w:val="0"/>
        </w:rPr>
        <w:t xml:space="preserve"> to form period energy: </w:t>
      </w:r>
      <w:r>
        <w:rPr>
          <w:rFonts w:ascii="DejaVu Sans Mono" w:hAnsi="DejaVu Sans Mono"/>
          <w:b w:val="0"/>
          <w:i w:val="0"/>
          <w:sz w:val="17"/>
        </w:rPr>
        <w:t>series["demand.real"].values</w:t>
      </w:r>
      <w:r>
        <w:rPr>
          <w:b w:val="0"/>
          <w:i w:val="0"/>
        </w:rPr>
        <w:t xml:space="preserve"> and </w:t>
      </w:r>
      <w:r>
        <w:rPr>
          <w:rFonts w:ascii="DejaVu Sans Mono" w:hAnsi="DejaVu Sans Mono"/>
          <w:b w:val="0"/>
          <w:i w:val="0"/>
          <w:sz w:val="17"/>
        </w:rPr>
        <w:t>series["demand.forecast"].values</w:t>
      </w:r>
      <w:r>
        <w:rPr>
          <w:b w:val="0"/>
          <w:i w:val="0"/>
        </w:rPr>
        <w:t xml:space="preserve"> hold MW, while </w:t>
      </w:r>
      <w:r>
        <w:rPr>
          <w:rFonts w:ascii="DejaVu Sans Mono" w:hAnsi="DejaVu Sans Mono"/>
          <w:b w:val="0"/>
          <w:i w:val="0"/>
          <w:sz w:val="17"/>
        </w:rPr>
        <w:t>demand</w:t>
      </w:r>
      <w:r>
        <w:rPr>
          <w:b w:val="0"/>
          <w:i w:val="0"/>
        </w:rPr>
        <w:t xml:space="preserve"> and </w:t>
      </w:r>
      <w:r>
        <w:rPr>
          <w:rFonts w:ascii="DejaVu Sans Mono" w:hAnsi="DejaVu Sans Mono"/>
          <w:b w:val="0"/>
          <w:i w:val="0"/>
          <w:sz w:val="17"/>
        </w:rPr>
        <w:t>forecast_demand</w:t>
      </w:r>
      <w:r>
        <w:rPr>
          <w:b w:val="0"/>
          <w:i w:val="0"/>
        </w:rPr>
        <w:t xml:space="preserve"> hold MWh per period. With zero-based period index </w:t>
      </w:r>
      <w:r>
        <w:rPr>
          <w:rFonts w:ascii="DejaVu Sans Mono" w:hAnsi="DejaVu Sans Mono"/>
          <w:b w:val="0"/>
          <w:i w:val="0"/>
          <w:sz w:val="17"/>
        </w:rPr>
        <w:t>t</w:t>
      </w:r>
      <w:r>
        <w:rPr>
          <w:b w:val="0"/>
          <w:i w:val="0"/>
        </w:rPr>
        <w:t>,</w:t>
      </w:r>
    </w:p>
    <w:p>
      <w:pPr>
        <w:spacing w:after="160"/>
        <w:jc w:val="center"/>
      </w:pPr>
      <w:r>
        <w:drawing>
          <wp:inline xmlns:a="http://schemas.openxmlformats.org/drawingml/2006/main" xmlns:pic="http://schemas.openxmlformats.org/drawingml/2006/picture">
            <wp:extent cx="5729782" cy="621908"/>
            <wp:docPr id="1" name="Picture 1"/>
            <wp:cNvGraphicFramePr>
              <a:graphicFrameLocks noChangeAspect="1"/>
            </wp:cNvGraphicFramePr>
            <a:graphic>
              <a:graphicData uri="http://schemas.openxmlformats.org/drawingml/2006/picture">
                <pic:pic>
                  <pic:nvPicPr>
                    <pic:cNvPr id="0" name="eq-001.png"/>
                    <pic:cNvPicPr/>
                  </pic:nvPicPr>
                  <pic:blipFill>
                    <a:blip r:embed="rId11"/>
                    <a:stretch>
                      <a:fillRect/>
                    </a:stretch>
                  </pic:blipFill>
                  <pic:spPr>
                    <a:xfrm>
                      <a:off x="0" y="0"/>
                      <a:ext cx="5729782" cy="621908"/>
                    </a:xfrm>
                    <a:prstGeom prst="rect"/>
                  </pic:spPr>
                </pic:pic>
              </a:graphicData>
            </a:graphic>
          </wp:inline>
        </w:drawing>
      </w:r>
    </w:p>
    <w:p>
      <w:r>
        <w:rPr>
          <w:b w:val="0"/>
          <w:i w:val="0"/>
        </w:rPr>
        <w:t xml:space="preserve">Annual demand energy is the sum of </w:t>
      </w:r>
      <w:r>
        <w:rPr>
          <w:rFonts w:ascii="DejaVu Sans Mono" w:hAnsi="DejaVu Sans Mono"/>
          <w:b w:val="0"/>
          <w:i w:val="0"/>
          <w:sz w:val="17"/>
        </w:rPr>
        <w:t>demand</w:t>
      </w:r>
      <w:r>
        <w:rPr>
          <w:b w:val="0"/>
          <w:i w:val="0"/>
        </w:rPr>
        <w:t xml:space="preserve">. A user-supplied column expressed in MWh per source period is divided by that period's duration in hours to obtain MW before half-hour alignment. VALUE 101 writes its synthetic power values under the column name </w:t>
      </w:r>
      <w:r>
        <w:rPr>
          <w:rFonts w:ascii="DejaVu Sans Mono" w:hAnsi="DejaVu Sans Mono"/>
          <w:b w:val="0"/>
          <w:i w:val="0"/>
          <w:sz w:val="17"/>
        </w:rPr>
        <w:t>mwh</w:t>
      </w:r>
      <w:r>
        <w:rPr>
          <w:b w:val="0"/>
          <w:i w:val="0"/>
        </w:rPr>
        <w:t>; those values enter the same MW-to-MWh calculation above.</w:t>
      </w:r>
    </w:p>
    <w:p>
      <w:pPr>
        <w:pStyle w:val="Heading2"/>
      </w:pPr>
      <w:r>
        <w:rPr>
          <w:b w:val="0"/>
          <w:i w:val="0"/>
        </w:rPr>
        <w:t>Column selection, missing values and annual alignment</w:t>
      </w:r>
    </w:p>
    <w:p>
      <w:r>
        <w:rPr>
          <w:b w:val="0"/>
          <w:i w:val="0"/>
        </w:rPr>
        <w:t xml:space="preserve">Time-series loading follows the declared column and header. </w:t>
      </w:r>
      <w:r>
        <w:rPr>
          <w:rFonts w:ascii="DejaVu Sans Mono" w:hAnsi="DejaVu Sans Mono"/>
          <w:b w:val="0"/>
          <w:i w:val="0"/>
          <w:sz w:val="17"/>
        </w:rPr>
        <w:t>read_series</w:t>
      </w:r>
      <w:r>
        <w:rPr>
          <w:b w:val="0"/>
          <w:i w:val="0"/>
        </w:rPr>
        <w:t xml:space="preserve"> uses </w:t>
      </w:r>
      <w:r>
        <w:rPr>
          <w:rFonts w:ascii="DejaVu Sans Mono" w:hAnsi="DejaVu Sans Mono"/>
          <w:b w:val="0"/>
          <w:i w:val="0"/>
          <w:sz w:val="17"/>
        </w:rPr>
        <w:t>csv_column</w:t>
      </w:r>
      <w:r>
        <w:rPr>
          <w:b w:val="0"/>
          <w:i w:val="0"/>
        </w:rPr>
        <w:t xml:space="preserve"> with </w:t>
      </w:r>
      <w:r>
        <w:rPr>
          <w:rFonts w:ascii="DejaVu Sans Mono" w:hAnsi="DejaVu Sans Mono"/>
          <w:b w:val="0"/>
          <w:i w:val="0"/>
          <w:sz w:val="17"/>
        </w:rPr>
        <w:t>csv_header=true</w:t>
      </w:r>
      <w:r>
        <w:rPr>
          <w:b w:val="0"/>
          <w:i w:val="0"/>
        </w:rPr>
        <w:t>; each cell in that column must be numeric and finite. An empty sequence, a missing named column or an invalid numeric cell terminates loading. For a file with an inferred column, an integer sequence of at least three values increasing by one requires an explicit column declaration.</w:t>
      </w:r>
    </w:p>
    <w:p>
      <w:r>
        <w:rPr>
          <w:b w:val="0"/>
          <w:i w:val="0"/>
        </w:rPr>
        <w:t xml:space="preserve">Header and column inference follow the contents of the file. A declared </w:t>
      </w:r>
      <w:r>
        <w:rPr>
          <w:rFonts w:ascii="DejaVu Sans Mono" w:hAnsi="DejaVu Sans Mono"/>
          <w:b w:val="0"/>
          <w:i w:val="0"/>
          <w:sz w:val="17"/>
        </w:rPr>
        <w:t>csv_header</w:t>
      </w:r>
      <w:r>
        <w:rPr>
          <w:b w:val="0"/>
          <w:i w:val="0"/>
        </w:rPr>
        <w:t xml:space="preserve"> takes precedence. Otherwise the first row is a header when it has at least one populated cell and every populated cell is non-numeric. With a missing </w:t>
      </w:r>
      <w:r>
        <w:rPr>
          <w:rFonts w:ascii="DejaVu Sans Mono" w:hAnsi="DejaVu Sans Mono"/>
          <w:b w:val="0"/>
          <w:i w:val="0"/>
          <w:sz w:val="17"/>
        </w:rPr>
        <w:t>csv_column</w:t>
      </w:r>
      <w:r>
        <w:rPr>
          <w:b w:val="0"/>
          <w:i w:val="0"/>
        </w:rPr>
        <w:t>, strict reading selects the sole wholly numeric column; multiple numeric columns require an explicit selection. The user-workspace reader selects the first wholly numeric column in an ambiguous file. Declaring the column fixes this choice independently of column order.</w:t>
      </w:r>
    </w:p>
    <w:p>
      <w:r>
        <w:rPr>
          <w:b w:val="0"/>
          <w:i w:val="0"/>
        </w:rPr>
        <w:t xml:space="preserve">Hourly inputs are expanded before the requested run window is selected. </w:t>
      </w:r>
      <w:r>
        <w:rPr>
          <w:rFonts w:ascii="DejaVu Sans Mono" w:hAnsi="DejaVu Sans Mono"/>
          <w:b w:val="0"/>
          <w:i w:val="0"/>
          <w:sz w:val="17"/>
        </w:rPr>
        <w:t>align_clock</w:t>
      </w:r>
      <w:r>
        <w:rPr>
          <w:b w:val="0"/>
          <w:i w:val="0"/>
        </w:rPr>
        <w:t xml:space="preserve"> reads </w:t>
      </w:r>
      <w:r>
        <w:rPr>
          <w:rFonts w:ascii="DejaVu Sans Mono" w:hAnsi="DejaVu Sans Mono"/>
          <w:b w:val="0"/>
          <w:i w:val="0"/>
          <w:sz w:val="17"/>
        </w:rPr>
        <w:t>interval_minutes=60</w:t>
      </w:r>
      <w:r>
        <w:rPr>
          <w:b w:val="0"/>
          <w:i w:val="0"/>
        </w:rPr>
        <w:t xml:space="preserve"> as two copies of each source value and </w:t>
      </w:r>
      <w:r>
        <w:rPr>
          <w:rFonts w:ascii="DejaVu Sans Mono" w:hAnsi="DejaVu Sans Mono"/>
          <w:b w:val="0"/>
          <w:i w:val="0"/>
          <w:sz w:val="17"/>
        </w:rPr>
        <w:t>interval_minutes=30</w:t>
      </w:r>
      <w:r>
        <w:rPr>
          <w:b w:val="0"/>
          <w:i w:val="0"/>
        </w:rPr>
        <w:t xml:space="preserve"> as one value per half-hour. With an absent interval declaration, lengths of 8,760 and 8,784 identify hourly years. Other declared resolutions terminate loading. The hourly conversion is applied once.</w:t>
      </w:r>
    </w:p>
    <w:p>
      <w:pPr>
        <w:keepNext/>
      </w:pPr>
      <w:r>
        <w:rPr>
          <w:b w:val="0"/>
          <w:i w:val="0"/>
        </w:rPr>
        <w:t xml:space="preserve">Leap-year demand retains its annual energy on the 365-day model clock. After hourly expansion, a 17,568-period year loses the 48 values beginning at </w:t>
      </w:r>
      <w:r>
        <w:rPr>
          <w:rFonts w:ascii="DejaVu Sans Mono" w:hAnsi="DejaVu Sans Mono"/>
          <w:b w:val="0"/>
          <w:i w:val="0"/>
          <w:sz w:val="17"/>
        </w:rPr>
        <w:t>(31 + 28) * 48</w:t>
      </w:r>
      <w:r>
        <w:rPr>
          <w:b w:val="0"/>
          <w:i w:val="0"/>
        </w:rPr>
        <w:t xml:space="preserve">, corresponding to 29 February. In </w:t>
      </w:r>
      <w:r>
        <w:rPr>
          <w:rFonts w:ascii="DejaVu Sans Mono" w:hAnsi="DejaVu Sans Mono"/>
          <w:b w:val="0"/>
          <w:i w:val="0"/>
          <w:sz w:val="17"/>
        </w:rPr>
        <w:t>normalize_​half_​hour_​year</w:t>
      </w:r>
      <w:r>
        <w:rPr>
          <w:b w:val="0"/>
          <w:i w:val="0"/>
        </w:rPr>
        <w:t xml:space="preserve">, </w:t>
      </w:r>
      <w:r>
        <w:rPr>
          <w:rFonts w:ascii="DejaVu Sans Mono" w:hAnsi="DejaVu Sans Mono"/>
          <w:b w:val="0"/>
          <w:i w:val="0"/>
          <w:sz w:val="17"/>
        </w:rPr>
        <w:t>numbers</w:t>
      </w:r>
      <w:r>
        <w:rPr>
          <w:b w:val="0"/>
          <w:i w:val="0"/>
        </w:rPr>
        <w:t xml:space="preserve"> contains the source values and </w:t>
      </w:r>
      <w:r>
        <w:rPr>
          <w:rFonts w:ascii="DejaVu Sans Mono" w:hAnsi="DejaVu Sans Mono"/>
          <w:b w:val="0"/>
          <w:i w:val="0"/>
          <w:sz w:val="17"/>
        </w:rPr>
        <w:t>reduced</w:t>
      </w:r>
      <w:r>
        <w:rPr>
          <w:b w:val="0"/>
          <w:i w:val="0"/>
        </w:rPr>
        <w:t xml:space="preserve"> the retained values. For a positive retained sum,</w:t>
      </w:r>
    </w:p>
    <w:p>
      <w:pPr>
        <w:spacing w:after="160"/>
        <w:jc w:val="center"/>
      </w:pPr>
      <w:r>
        <w:drawing>
          <wp:inline xmlns:a="http://schemas.openxmlformats.org/drawingml/2006/main" xmlns:pic="http://schemas.openxmlformats.org/drawingml/2006/picture">
            <wp:extent cx="6217920" cy="712353"/>
            <wp:docPr id="2" name="Picture 2"/>
            <wp:cNvGraphicFramePr>
              <a:graphicFrameLocks noChangeAspect="1"/>
            </wp:cNvGraphicFramePr>
            <a:graphic>
              <a:graphicData uri="http://schemas.openxmlformats.org/drawingml/2006/picture">
                <pic:pic>
                  <pic:nvPicPr>
                    <pic:cNvPr id="0" name="eq-002.png"/>
                    <pic:cNvPicPr/>
                  </pic:nvPicPr>
                  <pic:blipFill>
                    <a:blip r:embed="rId12"/>
                    <a:stretch>
                      <a:fillRect/>
                    </a:stretch>
                  </pic:blipFill>
                  <pic:spPr>
                    <a:xfrm>
                      <a:off x="0" y="0"/>
                      <a:ext cx="6217920" cy="712353"/>
                    </a:xfrm>
                    <a:prstGeom prst="rect"/>
                  </pic:spPr>
                </pic:pic>
              </a:graphicData>
            </a:graphic>
          </wp:inline>
        </w:drawing>
      </w:r>
    </w:p>
    <w:p>
      <w:r>
        <w:rPr>
          <w:b w:val="0"/>
          <w:i w:val="0"/>
        </w:rPr>
        <w:t xml:space="preserve">An all-zero demand series remains zero. A zero retained sum with a positive original sum terminates conversion. Other time-series roles remove the same 48 values and retain the remaining values. An explicit </w:t>
      </w:r>
      <w:r>
        <w:rPr>
          <w:rFonts w:ascii="DejaVu Sans Mono" w:hAnsi="DejaVu Sans Mono"/>
          <w:b w:val="0"/>
          <w:i w:val="0"/>
          <w:sz w:val="17"/>
        </w:rPr>
        <w:t>leap_policy="keep"</w:t>
      </w:r>
      <w:r>
        <w:rPr>
          <w:b w:val="0"/>
          <w:i w:val="0"/>
        </w:rPr>
        <w:t xml:space="preserve"> retains the source calendar and selects the required leading periods.</w:t>
      </w:r>
    </w:p>
    <w:p>
      <w:r>
        <w:rPr>
          <w:b w:val="0"/>
          <w:i w:val="0"/>
        </w:rPr>
        <w:t xml:space="preserve">The run consumes the first </w:t>
      </w:r>
      <w:r>
        <w:rPr>
          <w:rFonts w:ascii="DejaVu Sans Mono" w:hAnsi="DejaVu Sans Mono"/>
          <w:b w:val="0"/>
          <w:i w:val="0"/>
          <w:sz w:val="17"/>
        </w:rPr>
        <w:t>periods</w:t>
      </w:r>
      <w:r>
        <w:rPr>
          <w:b w:val="0"/>
          <w:i w:val="0"/>
        </w:rPr>
        <w:t xml:space="preserve"> values of a sufficiently long aligned sequence. A shorter series repeats from its beginning when </w:t>
      </w:r>
      <w:r>
        <w:rPr>
          <w:rFonts w:ascii="DejaVu Sans Mono" w:hAnsi="DejaVu Sans Mono"/>
          <w:b w:val="0"/>
          <w:i w:val="0"/>
          <w:sz w:val="17"/>
        </w:rPr>
        <w:t>cyclic=true</w:t>
      </w:r>
      <w:r>
        <w:rPr>
          <w:b w:val="0"/>
          <w:i w:val="0"/>
        </w:rPr>
        <w:t>, or when its role supplies the cycling convention; external-market flows and prices have this convention. Strict package reading requires that declaration for shorter demand or investment sequences. User-workspace reading fills a short series by repetition. These rules determine the numerical input for a partial-year or full-year run.</w:t>
      </w:r>
    </w:p>
    <w:p>
      <w:r>
        <w:rPr>
          <w:b w:val="0"/>
          <w:i w:val="0"/>
        </w:rPr>
        <w:t xml:space="preserve">The following sequence produces the aligned values. </w:t>
      </w:r>
      <w:r>
        <w:rPr>
          <w:rFonts w:ascii="DejaVu Sans Mono" w:hAnsi="DejaVu Sans Mono"/>
          <w:b w:val="0"/>
          <w:i w:val="0"/>
          <w:sz w:val="17"/>
        </w:rPr>
        <w:t>path</w:t>
      </w:r>
      <w:r>
        <w:rPr>
          <w:b w:val="0"/>
          <w:i w:val="0"/>
        </w:rPr>
        <w:t xml:space="preserve"> is the bound file, </w:t>
      </w:r>
      <w:r>
        <w:rPr>
          <w:rFonts w:ascii="DejaVu Sans Mono" w:hAnsi="DejaVu Sans Mono"/>
          <w:b w:val="0"/>
          <w:i w:val="0"/>
          <w:sz w:val="17"/>
        </w:rPr>
        <w:t>spec</w:t>
      </w:r>
      <w:r>
        <w:rPr>
          <w:b w:val="0"/>
          <w:i w:val="0"/>
        </w:rPr>
        <w:t xml:space="preserve"> contains its declarations, </w:t>
      </w:r>
      <w:r>
        <w:rPr>
          <w:rFonts w:ascii="DejaVu Sans Mono" w:hAnsi="DejaVu Sans Mono"/>
          <w:b w:val="0"/>
          <w:i w:val="0"/>
          <w:sz w:val="17"/>
        </w:rPr>
        <w:t>policy.strictness</w:t>
      </w:r>
      <w:r>
        <w:rPr>
          <w:b w:val="0"/>
          <w:i w:val="0"/>
        </w:rPr>
        <w:t xml:space="preserve"> selects strict package reading or user-workspace reading, and </w:t>
      </w:r>
      <w:r>
        <w:rPr>
          <w:rFonts w:ascii="DejaVu Sans Mono" w:hAnsi="DejaVu Sans Mono"/>
          <w:b w:val="0"/>
          <w:i w:val="0"/>
          <w:sz w:val="17"/>
        </w:rPr>
        <w:t>cyclic</w:t>
      </w:r>
      <w:r>
        <w:rPr>
          <w:b w:val="0"/>
          <w:i w:val="0"/>
        </w:rPr>
        <w:t xml:space="preserve"> is the role's repetition default.</w:t>
      </w:r>
    </w:p>
    <w:p>
      <w:pPr>
        <w:keepLines/>
        <w:spacing w:line="276" w:lineRule="auto" w:after="160"/>
      </w:pPr>
      <w:r>
        <w:rPr>
          <w:rFonts w:ascii="DejaVu Sans Mono" w:hAnsi="DejaVu Sans Mono"/>
          <w:b w:val="0"/>
          <w:i w:val="0"/>
          <w:sz w:val="17"/>
        </w:rPr>
        <w:t>read = read_series(path, spec, mode="declared-v2", strictness=policy.strictness)</w:t>
        <w:br/>
        <w:t>values = align_​clock(read.values, periods, spec, mode="declared-v2",</w:t>
        <w:br/>
        <w:t xml:space="preserve">                     strictness=policy.strictness, cyclic_default=cyclic)</w:t>
        <w:br/>
        <w:t>return values</w:t>
        <w:br/>
      </w:r>
    </w:p>
    <w:p>
      <w:pPr>
        <w:pStyle w:val="Heading2"/>
      </w:pPr>
      <w:r>
        <w:rPr>
          <w:b w:val="0"/>
          <w:i w:val="0"/>
        </w:rPr>
        <w:t>Observed demand and missing settlement periods</w:t>
      </w:r>
    </w:p>
    <w:p>
      <w:r>
        <w:rPr>
          <w:b w:val="0"/>
          <w:i w:val="0"/>
        </w:rPr>
        <w:t xml:space="preserve">The supplied GB demand shape uses NESO's 2022 half-hour actual demand and day-ahead forecast. Each of </w:t>
      </w:r>
      <w:r>
        <w:rPr>
          <w:rFonts w:ascii="DejaVu Sans Mono" w:hAnsi="DejaVu Sans Mono"/>
          <w:b w:val="0"/>
          <w:i w:val="0"/>
          <w:sz w:val="17"/>
        </w:rPr>
        <w:t>actual_mw.csv</w:t>
      </w:r>
      <w:r>
        <w:rPr>
          <w:b w:val="0"/>
          <w:i w:val="0"/>
        </w:rPr>
        <w:t xml:space="preserve"> and </w:t>
      </w:r>
      <w:r>
        <w:rPr>
          <w:rFonts w:ascii="DejaVu Sans Mono" w:hAnsi="DejaVu Sans Mono"/>
          <w:b w:val="0"/>
          <w:i w:val="0"/>
          <w:sz w:val="17"/>
        </w:rPr>
        <w:t>forecast_mw.csv</w:t>
      </w:r>
      <w:r>
        <w:rPr>
          <w:b w:val="0"/>
          <w:i w:val="0"/>
        </w:rPr>
        <w:t xml:space="preserve"> contains 17,520 values after UTC preprocessing. Each subsequent model year uses the same aligned 2022 actual-demand and forecast-demand sequences. Their power and energy totals are</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51"/>
        <w:gridCol w:w="1960"/>
        <w:gridCol w:w="1960"/>
        <w:gridCol w:w="1815"/>
        <w:gridCol w:w="2006"/>
      </w:tblGrid>
      <w:tr>
        <w:trPr>
          <w:cantSplit/>
          <w:tblHeader w:val="true"/>
        </w:trPr>
        <w:tc>
          <w:tcPr>
            <w:tcW w:type="dxa" w:w="2051"/>
            <w:vAlign w:val="center"/>
            <w:tcMar>
              <w:top w:w="90" w:type="dxa"/>
              <w:left w:w="90" w:type="dxa"/>
              <w:bottom w:w="90" w:type="dxa"/>
              <w:right w:w="90" w:type="dxa"/>
            </w:tcMar>
            <w:shd w:fill="EEEEEE"/>
          </w:tcPr>
          <w:p>
            <w:pPr>
              <w:spacing w:after="40" w:line="276" w:lineRule="auto"/>
            </w:pPr>
            <w:r>
              <w:rPr>
                <w:b/>
                <w:i w:val="0"/>
                <w:sz w:val="18"/>
              </w:rPr>
              <w:t>Series</w:t>
            </w:r>
          </w:p>
        </w:tc>
        <w:tc>
          <w:tcPr>
            <w:tcW w:type="dxa" w:w="1960"/>
            <w:vAlign w:val="center"/>
            <w:tcMar>
              <w:top w:w="90" w:type="dxa"/>
              <w:left w:w="90" w:type="dxa"/>
              <w:bottom w:w="90" w:type="dxa"/>
              <w:right w:w="90" w:type="dxa"/>
            </w:tcMar>
            <w:shd w:fill="EEEEEE"/>
          </w:tcPr>
          <w:p>
            <w:pPr>
              <w:spacing w:after="40" w:line="276" w:lineRule="auto"/>
            </w:pPr>
            <w:r>
              <w:rPr>
                <w:b/>
                <w:i w:val="0"/>
                <w:sz w:val="18"/>
              </w:rPr>
              <w:t>Minimum power MW</w:t>
            </w:r>
          </w:p>
        </w:tc>
        <w:tc>
          <w:tcPr>
            <w:tcW w:type="dxa" w:w="1960"/>
            <w:vAlign w:val="center"/>
            <w:tcMar>
              <w:top w:w="90" w:type="dxa"/>
              <w:left w:w="90" w:type="dxa"/>
              <w:bottom w:w="90" w:type="dxa"/>
              <w:right w:w="90" w:type="dxa"/>
            </w:tcMar>
            <w:shd w:fill="EEEEEE"/>
          </w:tcPr>
          <w:p>
            <w:pPr>
              <w:spacing w:after="40" w:line="276" w:lineRule="auto"/>
            </w:pPr>
            <w:r>
              <w:rPr>
                <w:b/>
                <w:i w:val="0"/>
                <w:sz w:val="18"/>
              </w:rPr>
              <w:t>Maximum power MW</w:t>
            </w:r>
          </w:p>
        </w:tc>
        <w:tc>
          <w:tcPr>
            <w:tcW w:type="dxa" w:w="1815"/>
            <w:vAlign w:val="center"/>
            <w:tcMar>
              <w:top w:w="90" w:type="dxa"/>
              <w:left w:w="90" w:type="dxa"/>
              <w:bottom w:w="90" w:type="dxa"/>
              <w:right w:w="90" w:type="dxa"/>
            </w:tcMar>
            <w:shd w:fill="EEEEEE"/>
          </w:tcPr>
          <w:p>
            <w:pPr>
              <w:spacing w:after="40" w:line="276" w:lineRule="auto"/>
            </w:pPr>
            <w:r>
              <w:rPr>
                <w:b/>
                <w:i w:val="0"/>
                <w:sz w:val="18"/>
              </w:rPr>
              <w:t>Mean power MW</w:t>
            </w:r>
          </w:p>
        </w:tc>
        <w:tc>
          <w:tcPr>
            <w:tcW w:type="dxa" w:w="2006"/>
            <w:vAlign w:val="center"/>
            <w:tcMar>
              <w:top w:w="90" w:type="dxa"/>
              <w:left w:w="90" w:type="dxa"/>
              <w:bottom w:w="90" w:type="dxa"/>
              <w:right w:w="90" w:type="dxa"/>
            </w:tcMar>
            <w:shd w:fill="EEEEEE"/>
          </w:tcPr>
          <w:p>
            <w:pPr>
              <w:spacing w:after="40" w:line="276" w:lineRule="auto"/>
            </w:pPr>
            <w:r>
              <w:rPr>
                <w:b/>
                <w:i w:val="0"/>
                <w:sz w:val="18"/>
              </w:rPr>
              <w:t>Annual energy MWh</w:t>
            </w:r>
          </w:p>
        </w:tc>
      </w:tr>
      <w:tr>
        <w:trPr>
          <w:cantSplit/>
        </w:trPr>
        <w:tc>
          <w:tcPr>
            <w:tcW w:type="dxa" w:w="2051"/>
            <w:vAlign w:val="center"/>
            <w:tcMar>
              <w:top w:w="90" w:type="dxa"/>
              <w:left w:w="90" w:type="dxa"/>
              <w:bottom w:w="90" w:type="dxa"/>
              <w:right w:w="90" w:type="dxa"/>
            </w:tcMar>
          </w:tcPr>
          <w:p>
            <w:pPr>
              <w:spacing w:after="40" w:line="276" w:lineRule="auto"/>
            </w:pPr>
            <w:r>
              <w:rPr>
                <w:b w:val="0"/>
                <w:i w:val="0"/>
                <w:sz w:val="18"/>
              </w:rPr>
              <w:t>Actual demand</w:t>
            </w:r>
          </w:p>
        </w:tc>
        <w:tc>
          <w:tcPr>
            <w:tcW w:type="dxa" w:w="1960"/>
            <w:vAlign w:val="center"/>
            <w:tcMar>
              <w:top w:w="90" w:type="dxa"/>
              <w:left w:w="90" w:type="dxa"/>
              <w:bottom w:w="90" w:type="dxa"/>
              <w:right w:w="90" w:type="dxa"/>
            </w:tcMar>
          </w:tcPr>
          <w:p>
            <w:pPr>
              <w:spacing w:after="40" w:line="276" w:lineRule="auto"/>
            </w:pPr>
            <w:r>
              <w:rPr>
                <w:b w:val="0"/>
                <w:i w:val="0"/>
                <w:sz w:val="18"/>
              </w:rPr>
              <w:t>15,080</w:t>
            </w:r>
          </w:p>
        </w:tc>
        <w:tc>
          <w:tcPr>
            <w:tcW w:type="dxa" w:w="1960"/>
            <w:vAlign w:val="center"/>
            <w:tcMar>
              <w:top w:w="90" w:type="dxa"/>
              <w:left w:w="90" w:type="dxa"/>
              <w:bottom w:w="90" w:type="dxa"/>
              <w:right w:w="90" w:type="dxa"/>
            </w:tcMar>
          </w:tcPr>
          <w:p>
            <w:pPr>
              <w:spacing w:after="40" w:line="276" w:lineRule="auto"/>
            </w:pPr>
            <w:r>
              <w:rPr>
                <w:b w:val="0"/>
                <w:i w:val="0"/>
                <w:sz w:val="18"/>
              </w:rPr>
              <w:t>46,042</w:t>
            </w:r>
          </w:p>
        </w:tc>
        <w:tc>
          <w:tcPr>
            <w:tcW w:type="dxa" w:w="1815"/>
            <w:vAlign w:val="center"/>
            <w:tcMar>
              <w:top w:w="90" w:type="dxa"/>
              <w:left w:w="90" w:type="dxa"/>
              <w:bottom w:w="90" w:type="dxa"/>
              <w:right w:w="90" w:type="dxa"/>
            </w:tcMar>
          </w:tcPr>
          <w:p>
            <w:pPr>
              <w:spacing w:after="40" w:line="276" w:lineRule="auto"/>
            </w:pPr>
            <w:r>
              <w:rPr>
                <w:b w:val="0"/>
                <w:i w:val="0"/>
                <w:sz w:val="18"/>
              </w:rPr>
              <w:t>26,587.967637</w:t>
            </w:r>
          </w:p>
        </w:tc>
        <w:tc>
          <w:tcPr>
            <w:tcW w:type="dxa" w:w="2006"/>
            <w:vAlign w:val="center"/>
            <w:tcMar>
              <w:top w:w="90" w:type="dxa"/>
              <w:left w:w="90" w:type="dxa"/>
              <w:bottom w:w="90" w:type="dxa"/>
              <w:right w:w="90" w:type="dxa"/>
            </w:tcMar>
          </w:tcPr>
          <w:p>
            <w:pPr>
              <w:spacing w:after="40" w:line="276" w:lineRule="auto"/>
            </w:pPr>
            <w:r>
              <w:rPr>
                <w:b w:val="0"/>
                <w:i w:val="0"/>
                <w:sz w:val="18"/>
              </w:rPr>
              <w:t>232,910,596.5</w:t>
            </w:r>
          </w:p>
        </w:tc>
      </w:tr>
      <w:tr>
        <w:trPr>
          <w:cantSplit/>
        </w:trPr>
        <w:tc>
          <w:tcPr>
            <w:tcW w:type="dxa" w:w="2051"/>
            <w:vAlign w:val="center"/>
            <w:tcMar>
              <w:top w:w="90" w:type="dxa"/>
              <w:left w:w="90" w:type="dxa"/>
              <w:bottom w:w="90" w:type="dxa"/>
              <w:right w:w="90" w:type="dxa"/>
            </w:tcMar>
          </w:tcPr>
          <w:p>
            <w:pPr>
              <w:spacing w:after="40" w:line="276" w:lineRule="auto"/>
            </w:pPr>
            <w:r>
              <w:rPr>
                <w:b w:val="0"/>
                <w:i w:val="0"/>
                <w:sz w:val="18"/>
              </w:rPr>
              <w:t>Day-ahead forecast</w:t>
            </w:r>
          </w:p>
        </w:tc>
        <w:tc>
          <w:tcPr>
            <w:tcW w:type="dxa" w:w="1960"/>
            <w:vAlign w:val="center"/>
            <w:tcMar>
              <w:top w:w="90" w:type="dxa"/>
              <w:left w:w="90" w:type="dxa"/>
              <w:bottom w:w="90" w:type="dxa"/>
              <w:right w:w="90" w:type="dxa"/>
            </w:tcMar>
          </w:tcPr>
          <w:p>
            <w:pPr>
              <w:spacing w:after="40" w:line="276" w:lineRule="auto"/>
            </w:pPr>
            <w:r>
              <w:rPr>
                <w:b w:val="0"/>
                <w:i w:val="0"/>
                <w:sz w:val="18"/>
              </w:rPr>
              <w:t>14,240</w:t>
            </w:r>
          </w:p>
        </w:tc>
        <w:tc>
          <w:tcPr>
            <w:tcW w:type="dxa" w:w="1960"/>
            <w:vAlign w:val="center"/>
            <w:tcMar>
              <w:top w:w="90" w:type="dxa"/>
              <w:left w:w="90" w:type="dxa"/>
              <w:bottom w:w="90" w:type="dxa"/>
              <w:right w:w="90" w:type="dxa"/>
            </w:tcMar>
          </w:tcPr>
          <w:p>
            <w:pPr>
              <w:spacing w:after="40" w:line="276" w:lineRule="auto"/>
            </w:pPr>
            <w:r>
              <w:rPr>
                <w:b w:val="0"/>
                <w:i w:val="0"/>
                <w:sz w:val="18"/>
              </w:rPr>
              <w:t>46,760</w:t>
            </w:r>
          </w:p>
        </w:tc>
        <w:tc>
          <w:tcPr>
            <w:tcW w:type="dxa" w:w="1815"/>
            <w:vAlign w:val="center"/>
            <w:tcMar>
              <w:top w:w="90" w:type="dxa"/>
              <w:left w:w="90" w:type="dxa"/>
              <w:bottom w:w="90" w:type="dxa"/>
              <w:right w:w="90" w:type="dxa"/>
            </w:tcMar>
          </w:tcPr>
          <w:p>
            <w:pPr>
              <w:spacing w:after="40" w:line="276" w:lineRule="auto"/>
            </w:pPr>
            <w:r>
              <w:rPr>
                <w:b w:val="0"/>
                <w:i w:val="0"/>
                <w:sz w:val="18"/>
              </w:rPr>
              <w:t>26,611.131963</w:t>
            </w:r>
          </w:p>
        </w:tc>
        <w:tc>
          <w:tcPr>
            <w:tcW w:type="dxa" w:w="2006"/>
            <w:vAlign w:val="center"/>
            <w:tcMar>
              <w:top w:w="90" w:type="dxa"/>
              <w:left w:w="90" w:type="dxa"/>
              <w:bottom w:w="90" w:type="dxa"/>
              <w:right w:w="90" w:type="dxa"/>
            </w:tcMar>
          </w:tcPr>
          <w:p>
            <w:pPr>
              <w:spacing w:after="40" w:line="276" w:lineRule="auto"/>
            </w:pPr>
            <w:r>
              <w:rPr>
                <w:b w:val="0"/>
                <w:i w:val="0"/>
                <w:sz w:val="18"/>
              </w:rPr>
              <w:t>233,113,516</w:t>
            </w:r>
          </w:p>
        </w:tc>
      </w:tr>
    </w:tbl>
    <w:p>
      <w:pPr>
        <w:spacing w:after="20"/>
      </w:pPr>
    </w:p>
    <w:p>
      <w:r>
        <w:rPr>
          <w:b w:val="0"/>
          <w:i w:val="0"/>
        </w:rPr>
        <w:t>Demand preprocessing resolves settlement records before interpolation. Rows with the same settlement date and settlement period are ordered by publication time; the latest publication is retained, with the final row breaking a tie. UK local settlement times are then placed on the UTC half-hour axis. The 17,518 source rows yield 17,516 distinct periods, leaving four missing half-hours.</w:t>
      </w:r>
    </w:p>
    <w:p>
      <w:r>
        <w:rPr>
          <w:b w:val="0"/>
          <w:i w:val="0"/>
        </w:rPr>
        <w:t>Missing demand periods are filled by linear interpolation between their adjacent known values. One missing period receives the mean of the endpoints. Two consecutive missing periods receive one-third and two-thirds of the endpoint difference added to the preceding value. The four replacements in the 2022 input occur on 30 October:</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98"/>
        <w:gridCol w:w="3396"/>
        <w:gridCol w:w="3198"/>
      </w:tblGrid>
      <w:tr>
        <w:trPr>
          <w:cantSplit/>
          <w:tblHeader w:val="true"/>
        </w:trPr>
        <w:tc>
          <w:tcPr>
            <w:tcW w:type="dxa" w:w="3198"/>
            <w:vAlign w:val="center"/>
            <w:tcMar>
              <w:top w:w="90" w:type="dxa"/>
              <w:left w:w="90" w:type="dxa"/>
              <w:bottom w:w="90" w:type="dxa"/>
              <w:right w:w="90" w:type="dxa"/>
            </w:tcMar>
            <w:shd w:fill="EEEEEE"/>
          </w:tcPr>
          <w:p>
            <w:pPr>
              <w:spacing w:after="40" w:line="276" w:lineRule="auto"/>
            </w:pPr>
            <w:r>
              <w:rPr>
                <w:b/>
                <w:i w:val="0"/>
                <w:sz w:val="18"/>
              </w:rPr>
              <w:t>UTC time</w:t>
            </w:r>
          </w:p>
        </w:tc>
        <w:tc>
          <w:tcPr>
            <w:tcW w:type="dxa" w:w="3396"/>
            <w:vAlign w:val="center"/>
            <w:tcMar>
              <w:top w:w="90" w:type="dxa"/>
              <w:left w:w="90" w:type="dxa"/>
              <w:bottom w:w="90" w:type="dxa"/>
              <w:right w:w="90" w:type="dxa"/>
            </w:tcMar>
            <w:shd w:fill="EEEEEE"/>
          </w:tcPr>
          <w:p>
            <w:pPr>
              <w:spacing w:after="40" w:line="276" w:lineRule="auto"/>
            </w:pPr>
            <w:r>
              <w:rPr>
                <w:b/>
                <w:i w:val="0"/>
                <w:sz w:val="18"/>
              </w:rPr>
              <w:t>Forecast demand MW</w:t>
            </w:r>
          </w:p>
        </w:tc>
        <w:tc>
          <w:tcPr>
            <w:tcW w:type="dxa" w:w="3198"/>
            <w:vAlign w:val="center"/>
            <w:tcMar>
              <w:top w:w="90" w:type="dxa"/>
              <w:left w:w="90" w:type="dxa"/>
              <w:bottom w:w="90" w:type="dxa"/>
              <w:right w:w="90" w:type="dxa"/>
            </w:tcMar>
            <w:shd w:fill="EEEEEE"/>
          </w:tcPr>
          <w:p>
            <w:pPr>
              <w:spacing w:after="40" w:line="276" w:lineRule="auto"/>
            </w:pPr>
            <w:r>
              <w:rPr>
                <w:b/>
                <w:i w:val="0"/>
                <w:sz w:val="18"/>
              </w:rPr>
              <w:t>Actual demand MW</w:t>
            </w:r>
          </w:p>
        </w:tc>
      </w:tr>
      <w:tr>
        <w:trPr>
          <w:cantSplit/>
        </w:trPr>
        <w:tc>
          <w:tcPr>
            <w:tcW w:type="dxa" w:w="3198"/>
            <w:vAlign w:val="center"/>
            <w:tcMar>
              <w:top w:w="90" w:type="dxa"/>
              <w:left w:w="90" w:type="dxa"/>
              <w:bottom w:w="90" w:type="dxa"/>
              <w:right w:w="90" w:type="dxa"/>
            </w:tcMar>
          </w:tcPr>
          <w:p>
            <w:pPr>
              <w:spacing w:after="40" w:line="276" w:lineRule="auto"/>
            </w:pPr>
            <w:r>
              <w:rPr>
                <w:b w:val="0"/>
                <w:i w:val="0"/>
                <w:sz w:val="18"/>
              </w:rPr>
              <w:t>2022-10-30 09:00</w:t>
            </w:r>
          </w:p>
        </w:tc>
        <w:tc>
          <w:tcPr>
            <w:tcW w:type="dxa" w:w="3396"/>
            <w:vAlign w:val="center"/>
            <w:tcMar>
              <w:top w:w="90" w:type="dxa"/>
              <w:left w:w="90" w:type="dxa"/>
              <w:bottom w:w="90" w:type="dxa"/>
              <w:right w:w="90" w:type="dxa"/>
            </w:tcMar>
          </w:tcPr>
          <w:p>
            <w:pPr>
              <w:spacing w:after="40" w:line="276" w:lineRule="auto"/>
            </w:pPr>
            <w:r>
              <w:rPr>
                <w:b w:val="0"/>
                <w:i w:val="0"/>
                <w:sz w:val="18"/>
              </w:rPr>
              <w:t>22,638.666667</w:t>
            </w:r>
          </w:p>
        </w:tc>
        <w:tc>
          <w:tcPr>
            <w:tcW w:type="dxa" w:w="3198"/>
            <w:vAlign w:val="center"/>
            <w:tcMar>
              <w:top w:w="90" w:type="dxa"/>
              <w:left w:w="90" w:type="dxa"/>
              <w:bottom w:w="90" w:type="dxa"/>
              <w:right w:w="90" w:type="dxa"/>
            </w:tcMar>
          </w:tcPr>
          <w:p>
            <w:pPr>
              <w:spacing w:after="40" w:line="276" w:lineRule="auto"/>
            </w:pPr>
            <w:r>
              <w:rPr>
                <w:b w:val="0"/>
                <w:i w:val="0"/>
                <w:sz w:val="18"/>
              </w:rPr>
              <w:t>24,649</w:t>
            </w:r>
          </w:p>
        </w:tc>
      </w:tr>
      <w:tr>
        <w:trPr>
          <w:cantSplit/>
        </w:trPr>
        <w:tc>
          <w:tcPr>
            <w:tcW w:type="dxa" w:w="3198"/>
            <w:vAlign w:val="center"/>
            <w:tcMar>
              <w:top w:w="90" w:type="dxa"/>
              <w:left w:w="90" w:type="dxa"/>
              <w:bottom w:w="90" w:type="dxa"/>
              <w:right w:w="90" w:type="dxa"/>
            </w:tcMar>
          </w:tcPr>
          <w:p>
            <w:pPr>
              <w:spacing w:after="40" w:line="276" w:lineRule="auto"/>
            </w:pPr>
            <w:r>
              <w:rPr>
                <w:b w:val="0"/>
                <w:i w:val="0"/>
                <w:sz w:val="18"/>
              </w:rPr>
              <w:t>2022-10-30 09:30</w:t>
            </w:r>
          </w:p>
        </w:tc>
        <w:tc>
          <w:tcPr>
            <w:tcW w:type="dxa" w:w="3396"/>
            <w:vAlign w:val="center"/>
            <w:tcMar>
              <w:top w:w="90" w:type="dxa"/>
              <w:left w:w="90" w:type="dxa"/>
              <w:bottom w:w="90" w:type="dxa"/>
              <w:right w:w="90" w:type="dxa"/>
            </w:tcMar>
          </w:tcPr>
          <w:p>
            <w:pPr>
              <w:spacing w:after="40" w:line="276" w:lineRule="auto"/>
            </w:pPr>
            <w:r>
              <w:rPr>
                <w:b w:val="0"/>
                <w:i w:val="0"/>
                <w:sz w:val="18"/>
              </w:rPr>
              <w:t>22,899.333333</w:t>
            </w:r>
          </w:p>
        </w:tc>
        <w:tc>
          <w:tcPr>
            <w:tcW w:type="dxa" w:w="3198"/>
            <w:vAlign w:val="center"/>
            <w:tcMar>
              <w:top w:w="90" w:type="dxa"/>
              <w:left w:w="90" w:type="dxa"/>
              <w:bottom w:w="90" w:type="dxa"/>
              <w:right w:w="90" w:type="dxa"/>
            </w:tcMar>
          </w:tcPr>
          <w:p>
            <w:pPr>
              <w:spacing w:after="40" w:line="276" w:lineRule="auto"/>
            </w:pPr>
            <w:r>
              <w:rPr>
                <w:b w:val="0"/>
                <w:i w:val="0"/>
                <w:sz w:val="18"/>
              </w:rPr>
              <w:t>24,727</w:t>
            </w:r>
          </w:p>
        </w:tc>
      </w:tr>
      <w:tr>
        <w:trPr>
          <w:cantSplit/>
        </w:trPr>
        <w:tc>
          <w:tcPr>
            <w:tcW w:type="dxa" w:w="3198"/>
            <w:vAlign w:val="center"/>
            <w:tcMar>
              <w:top w:w="90" w:type="dxa"/>
              <w:left w:w="90" w:type="dxa"/>
              <w:bottom w:w="90" w:type="dxa"/>
              <w:right w:w="90" w:type="dxa"/>
            </w:tcMar>
          </w:tcPr>
          <w:p>
            <w:pPr>
              <w:spacing w:after="40" w:line="276" w:lineRule="auto"/>
            </w:pPr>
            <w:r>
              <w:rPr>
                <w:b w:val="0"/>
                <w:i w:val="0"/>
                <w:sz w:val="18"/>
              </w:rPr>
              <w:t>2022-10-30 23:00</w:t>
            </w:r>
          </w:p>
        </w:tc>
        <w:tc>
          <w:tcPr>
            <w:tcW w:type="dxa" w:w="3396"/>
            <w:vAlign w:val="center"/>
            <w:tcMar>
              <w:top w:w="90" w:type="dxa"/>
              <w:left w:w="90" w:type="dxa"/>
              <w:bottom w:w="90" w:type="dxa"/>
              <w:right w:w="90" w:type="dxa"/>
            </w:tcMar>
          </w:tcPr>
          <w:p>
            <w:pPr>
              <w:spacing w:after="40" w:line="276" w:lineRule="auto"/>
            </w:pPr>
            <w:r>
              <w:rPr>
                <w:b w:val="0"/>
                <w:i w:val="0"/>
                <w:sz w:val="18"/>
              </w:rPr>
              <w:t>19,063.333333</w:t>
            </w:r>
          </w:p>
        </w:tc>
        <w:tc>
          <w:tcPr>
            <w:tcW w:type="dxa" w:w="3198"/>
            <w:vAlign w:val="center"/>
            <w:tcMar>
              <w:top w:w="90" w:type="dxa"/>
              <w:left w:w="90" w:type="dxa"/>
              <w:bottom w:w="90" w:type="dxa"/>
              <w:right w:w="90" w:type="dxa"/>
            </w:tcMar>
          </w:tcPr>
          <w:p>
            <w:pPr>
              <w:spacing w:after="40" w:line="276" w:lineRule="auto"/>
            </w:pPr>
            <w:r>
              <w:rPr>
                <w:b w:val="0"/>
                <w:i w:val="0"/>
                <w:sz w:val="18"/>
              </w:rPr>
              <w:t>20,494.666667</w:t>
            </w:r>
          </w:p>
        </w:tc>
      </w:tr>
      <w:tr>
        <w:trPr>
          <w:cantSplit/>
        </w:trPr>
        <w:tc>
          <w:tcPr>
            <w:tcW w:type="dxa" w:w="3198"/>
            <w:vAlign w:val="center"/>
            <w:tcMar>
              <w:top w:w="90" w:type="dxa"/>
              <w:left w:w="90" w:type="dxa"/>
              <w:bottom w:w="90" w:type="dxa"/>
              <w:right w:w="90" w:type="dxa"/>
            </w:tcMar>
          </w:tcPr>
          <w:p>
            <w:pPr>
              <w:spacing w:after="40" w:line="276" w:lineRule="auto"/>
            </w:pPr>
            <w:r>
              <w:rPr>
                <w:b w:val="0"/>
                <w:i w:val="0"/>
                <w:sz w:val="18"/>
              </w:rPr>
              <w:t>2022-10-30 23:30</w:t>
            </w:r>
          </w:p>
        </w:tc>
        <w:tc>
          <w:tcPr>
            <w:tcW w:type="dxa" w:w="3396"/>
            <w:vAlign w:val="center"/>
            <w:tcMar>
              <w:top w:w="90" w:type="dxa"/>
              <w:left w:w="90" w:type="dxa"/>
              <w:bottom w:w="90" w:type="dxa"/>
              <w:right w:w="90" w:type="dxa"/>
            </w:tcMar>
          </w:tcPr>
          <w:p>
            <w:pPr>
              <w:spacing w:after="40" w:line="276" w:lineRule="auto"/>
            </w:pPr>
            <w:r>
              <w:rPr>
                <w:b w:val="0"/>
                <w:i w:val="0"/>
                <w:sz w:val="18"/>
              </w:rPr>
              <w:t>19,086.666667</w:t>
            </w:r>
          </w:p>
        </w:tc>
        <w:tc>
          <w:tcPr>
            <w:tcW w:type="dxa" w:w="3198"/>
            <w:vAlign w:val="center"/>
            <w:tcMar>
              <w:top w:w="90" w:type="dxa"/>
              <w:left w:w="90" w:type="dxa"/>
              <w:bottom w:w="90" w:type="dxa"/>
              <w:right w:w="90" w:type="dxa"/>
            </w:tcMar>
          </w:tcPr>
          <w:p>
            <w:pPr>
              <w:spacing w:after="40" w:line="276" w:lineRule="auto"/>
            </w:pPr>
            <w:r>
              <w:rPr>
                <w:b w:val="0"/>
                <w:i w:val="0"/>
                <w:sz w:val="18"/>
              </w:rPr>
              <w:t>19,689.333333</w:t>
            </w:r>
          </w:p>
        </w:tc>
      </w:tr>
    </w:tbl>
    <w:p>
      <w:pPr>
        <w:spacing w:after="20"/>
      </w:pPr>
    </w:p>
    <w:p>
      <w:r>
        <w:rPr>
          <w:b w:val="0"/>
          <w:i w:val="0"/>
        </w:rPr>
        <w:t>User demand timestamps are converted to UTC before the same model-year alignment. The mapping accepts UTC or Europe/London and a declared DD/MM/YYYY or MM/DD/YYYY date order. Timestamps must identify a strictly increasing sequence with a regular 30- or 60-minute step; duplicates, unresolved dates and gaps terminate mapping. The resulting row order is placed from 1 January 00:00 UTC in each model year, retaining the input's sequence of weekday and holiday effects.</w:t>
      </w:r>
    </w:p>
    <w:p>
      <w:pPr>
        <w:pStyle w:val="Heading2"/>
      </w:pPr>
      <w:r>
        <w:rPr>
          <w:b w:val="0"/>
          <w:i w:val="0"/>
        </w:rPr>
        <w:t>Initial operating assets</w:t>
      </w:r>
    </w:p>
    <w:p>
      <w:r>
        <w:rPr>
          <w:b w:val="0"/>
          <w:i w:val="0"/>
        </w:rPr>
        <w:t xml:space="preserve">The initial renewable and battery stock is selected from the DESNZ Renewable Energy Planning Database, second quarter 2025, released in July. Its 12,977 project rows and 53 source fields yield 10,653 rows and 14 fields after technology and positive-capacity filtering. </w:t>
      </w:r>
      <w:r>
        <w:rPr>
          <w:rFonts w:ascii="DejaVu Sans Mono" w:hAnsi="DejaVu Sans Mono"/>
          <w:b w:val="0"/>
          <w:i w:val="0"/>
          <w:sz w:val="17"/>
        </w:rPr>
        <w:t>normalize_repd</w:t>
      </w:r>
      <w:r>
        <w:rPr>
          <w:b w:val="0"/>
          <w:i w:val="0"/>
        </w:rPr>
        <w:t xml:space="preserve"> retains onshore wind, offshore wind, solar, battery and gas technologies; </w:t>
      </w:r>
      <w:r>
        <w:rPr>
          <w:rFonts w:ascii="DejaVu Sans Mono" w:hAnsi="DejaVu Sans Mono"/>
          <w:b w:val="0"/>
          <w:i w:val="0"/>
          <w:sz w:val="17"/>
        </w:rPr>
        <w:t>capacity_mw</w:t>
      </w:r>
      <w:r>
        <w:rPr>
          <w:b w:val="0"/>
          <w:i w:val="0"/>
        </w:rPr>
        <w:t xml:space="preserve">, </w:t>
      </w:r>
      <w:r>
        <w:rPr>
          <w:rFonts w:ascii="DejaVu Sans Mono" w:hAnsi="DejaVu Sans Mono"/>
          <w:b w:val="0"/>
          <w:i w:val="0"/>
          <w:sz w:val="17"/>
        </w:rPr>
        <w:t>x_coordinate</w:t>
      </w:r>
      <w:r>
        <w:rPr>
          <w:b w:val="0"/>
          <w:i w:val="0"/>
        </w:rPr>
        <w:t xml:space="preserve"> and </w:t>
      </w:r>
      <w:r>
        <w:rPr>
          <w:rFonts w:ascii="DejaVu Sans Mono" w:hAnsi="DejaVu Sans Mono"/>
          <w:b w:val="0"/>
          <w:i w:val="0"/>
          <w:sz w:val="17"/>
        </w:rPr>
        <w:t>y_coordinate</w:t>
      </w:r>
      <w:r>
        <w:rPr>
          <w:b w:val="0"/>
          <w:i w:val="0"/>
        </w:rPr>
        <w:t xml:space="preserve"> are converted to numbers, with failed conversions stored as missing values.</w:t>
      </w:r>
    </w:p>
    <w:p>
      <w:r>
        <w:rPr>
          <w:b w:val="0"/>
          <w:i w:val="0"/>
        </w:rPr>
        <w:t xml:space="preserve">The normalised project table retains the information needed for date and location selection. Its fields are </w:t>
      </w:r>
      <w:r>
        <w:rPr>
          <w:rFonts w:ascii="DejaVu Sans Mono" w:hAnsi="DejaVu Sans Mono"/>
          <w:b w:val="0"/>
          <w:i w:val="0"/>
          <w:sz w:val="17"/>
        </w:rPr>
        <w:t>project_id</w:t>
      </w:r>
      <w:r>
        <w:rPr>
          <w:b w:val="0"/>
          <w:i w:val="0"/>
        </w:rPr>
        <w:t xml:space="preserve">, </w:t>
      </w:r>
      <w:r>
        <w:rPr>
          <w:rFonts w:ascii="DejaVu Sans Mono" w:hAnsi="DejaVu Sans Mono"/>
          <w:b w:val="0"/>
          <w:i w:val="0"/>
          <w:sz w:val="17"/>
        </w:rPr>
        <w:t>site_name</w:t>
      </w:r>
      <w:r>
        <w:rPr>
          <w:b w:val="0"/>
          <w:i w:val="0"/>
        </w:rPr>
        <w:t xml:space="preserve">, </w:t>
      </w:r>
      <w:r>
        <w:rPr>
          <w:rFonts w:ascii="DejaVu Sans Mono" w:hAnsi="DejaVu Sans Mono"/>
          <w:b w:val="0"/>
          <w:i w:val="0"/>
          <w:sz w:val="17"/>
        </w:rPr>
        <w:t>technology</w:t>
      </w:r>
      <w:r>
        <w:rPr>
          <w:b w:val="0"/>
          <w:i w:val="0"/>
        </w:rPr>
        <w:t xml:space="preserve">, </w:t>
      </w:r>
      <w:r>
        <w:rPr>
          <w:rFonts w:ascii="DejaVu Sans Mono" w:hAnsi="DejaVu Sans Mono"/>
          <w:b w:val="0"/>
          <w:i w:val="0"/>
          <w:sz w:val="17"/>
        </w:rPr>
        <w:t>technology_source</w:t>
      </w:r>
      <w:r>
        <w:rPr>
          <w:b w:val="0"/>
          <w:i w:val="0"/>
        </w:rPr>
        <w:t xml:space="preserve">, </w:t>
      </w:r>
      <w:r>
        <w:rPr>
          <w:rFonts w:ascii="DejaVu Sans Mono" w:hAnsi="DejaVu Sans Mono"/>
          <w:b w:val="0"/>
          <w:i w:val="0"/>
          <w:sz w:val="17"/>
        </w:rPr>
        <w:t>capacity_mw</w:t>
      </w:r>
      <w:r>
        <w:rPr>
          <w:b w:val="0"/>
          <w:i w:val="0"/>
        </w:rPr>
        <w:t xml:space="preserve">, </w:t>
      </w:r>
      <w:r>
        <w:rPr>
          <w:rFonts w:ascii="DejaVu Sans Mono" w:hAnsi="DejaVu Sans Mono"/>
          <w:b w:val="0"/>
          <w:i w:val="0"/>
          <w:sz w:val="17"/>
        </w:rPr>
        <w:t>development_status</w:t>
      </w:r>
      <w:r>
        <w:rPr>
          <w:b w:val="0"/>
          <w:i w:val="0"/>
        </w:rPr>
        <w:t xml:space="preserve">, </w:t>
      </w:r>
      <w:r>
        <w:rPr>
          <w:rFonts w:ascii="DejaVu Sans Mono" w:hAnsi="DejaVu Sans Mono"/>
          <w:b w:val="0"/>
          <w:i w:val="0"/>
          <w:sz w:val="17"/>
        </w:rPr>
        <w:t>region</w:t>
      </w:r>
      <w:r>
        <w:rPr>
          <w:b w:val="0"/>
          <w:i w:val="0"/>
        </w:rPr>
        <w:t xml:space="preserve">, </w:t>
      </w:r>
      <w:r>
        <w:rPr>
          <w:rFonts w:ascii="DejaVu Sans Mono" w:hAnsi="DejaVu Sans Mono"/>
          <w:b w:val="0"/>
          <w:i w:val="0"/>
          <w:sz w:val="17"/>
        </w:rPr>
        <w:t>country</w:t>
      </w:r>
      <w:r>
        <w:rPr>
          <w:b w:val="0"/>
          <w:i w:val="0"/>
        </w:rPr>
        <w:t xml:space="preserve">, </w:t>
      </w:r>
      <w:r>
        <w:rPr>
          <w:rFonts w:ascii="DejaVu Sans Mono" w:hAnsi="DejaVu Sans Mono"/>
          <w:b w:val="0"/>
          <w:i w:val="0"/>
          <w:sz w:val="17"/>
        </w:rPr>
        <w:t>planning_​application_​submitted</w:t>
      </w:r>
      <w:r>
        <w:rPr>
          <w:b w:val="0"/>
          <w:i w:val="0"/>
        </w:rPr>
        <w:t xml:space="preserve">, </w:t>
      </w:r>
      <w:r>
        <w:rPr>
          <w:rFonts w:ascii="DejaVu Sans Mono" w:hAnsi="DejaVu Sans Mono"/>
          <w:b w:val="0"/>
          <w:i w:val="0"/>
          <w:sz w:val="17"/>
        </w:rPr>
        <w:t>planning_​permission_​granted</w:t>
      </w:r>
      <w:r>
        <w:rPr>
          <w:b w:val="0"/>
          <w:i w:val="0"/>
        </w:rPr>
        <w:t xml:space="preserve">, </w:t>
      </w:r>
      <w:r>
        <w:rPr>
          <w:rFonts w:ascii="DejaVu Sans Mono" w:hAnsi="DejaVu Sans Mono"/>
          <w:b w:val="0"/>
          <w:i w:val="0"/>
          <w:sz w:val="17"/>
        </w:rPr>
        <w:t>under_construction</w:t>
      </w:r>
      <w:r>
        <w:rPr>
          <w:b w:val="0"/>
          <w:i w:val="0"/>
        </w:rPr>
        <w:t xml:space="preserve">, </w:t>
      </w:r>
      <w:r>
        <w:rPr>
          <w:rFonts w:ascii="DejaVu Sans Mono" w:hAnsi="DejaVu Sans Mono"/>
          <w:b w:val="0"/>
          <w:i w:val="0"/>
          <w:sz w:val="17"/>
        </w:rPr>
        <w:t>operational</w:t>
      </w:r>
      <w:r>
        <w:rPr>
          <w:b w:val="0"/>
          <w:i w:val="0"/>
        </w:rPr>
        <w:t xml:space="preserve">, </w:t>
      </w:r>
      <w:r>
        <w:rPr>
          <w:rFonts w:ascii="DejaVu Sans Mono" w:hAnsi="DejaVu Sans Mono"/>
          <w:b w:val="0"/>
          <w:i w:val="0"/>
          <w:sz w:val="17"/>
        </w:rPr>
        <w:t>x_coordinate</w:t>
      </w:r>
      <w:r>
        <w:rPr>
          <w:b w:val="0"/>
          <w:i w:val="0"/>
        </w:rPr>
        <w:t xml:space="preserve"> and </w:t>
      </w:r>
      <w:r>
        <w:rPr>
          <w:rFonts w:ascii="DejaVu Sans Mono" w:hAnsi="DejaVu Sans Mono"/>
          <w:b w:val="0"/>
          <w:i w:val="0"/>
          <w:sz w:val="17"/>
        </w:rPr>
        <w:t>y_coordinate</w:t>
      </w:r>
      <w:r>
        <w:rPr>
          <w:b w:val="0"/>
          <w:i w:val="0"/>
        </w:rPr>
        <w:t>. Date strings remain available for the asset and planning readers to parse.</w:t>
      </w:r>
    </w:p>
    <w:p>
      <w:r>
        <w:rPr>
          <w:b w:val="0"/>
          <w:i w:val="0"/>
        </w:rPr>
        <w:t xml:space="preserve">Operating wind, solar and battery capacity requires </w:t>
      </w:r>
      <w:r>
        <w:rPr>
          <w:rFonts w:ascii="DejaVu Sans Mono" w:hAnsi="DejaVu Sans Mono"/>
          <w:b w:val="0"/>
          <w:i w:val="0"/>
          <w:sz w:val="17"/>
        </w:rPr>
        <w:t>Operational</w:t>
      </w:r>
      <w:r>
        <w:rPr>
          <w:b w:val="0"/>
          <w:i w:val="0"/>
        </w:rPr>
        <w:t xml:space="preserve"> status, a readable operational date at or before the study's start year, and positive installed MW. </w:t>
      </w:r>
      <w:r>
        <w:rPr>
          <w:rFonts w:ascii="DejaVu Sans Mono" w:hAnsi="DejaVu Sans Mono"/>
          <w:b w:val="0"/>
          <w:i w:val="0"/>
          <w:sz w:val="17"/>
        </w:rPr>
        <w:t>build_​repd_​operational_​snapshot</w:t>
      </w:r>
      <w:r>
        <w:rPr>
          <w:b w:val="0"/>
          <w:i w:val="0"/>
        </w:rPr>
        <w:t xml:space="preserve"> parses the date with day-first order and skips records with missing dates or invalid capacity. Solar and onshore projects first use the region-to-city mapping in Chapter 3. Remaining projects use geographic coordinates and the nearest representative of their technology; OSGB coordinates are converted from EPSG:27700 to EPSG:4326 when required. A project with neither a regional assignment nor usable coordinates contributes zero to the mapped initial wind or solar stock.</w:t>
      </w:r>
    </w:p>
    <w:p>
      <w:r>
        <w:rPr>
          <w:b w:val="0"/>
          <w:i w:val="0"/>
        </w:rPr>
        <w:t xml:space="preserve">Initial battery MW is distributed among the storage entries other than pumped hydro. For each entry, </w:t>
      </w:r>
      <w:r>
        <w:rPr>
          <w:rFonts w:ascii="DejaVu Sans Mono" w:hAnsi="DejaVu Sans Mono"/>
          <w:b w:val="0"/>
          <w:i w:val="0"/>
          <w:sz w:val="17"/>
        </w:rPr>
        <w:t>weighted[asset_id]</w:t>
      </w:r>
      <w:r>
        <w:rPr>
          <w:b w:val="0"/>
          <w:i w:val="0"/>
        </w:rPr>
        <w:t xml:space="preserve"> equals the larger of its </w:t>
      </w:r>
      <w:r>
        <w:rPr>
          <w:rFonts w:ascii="DejaVu Sans Mono" w:hAnsi="DejaVu Sans Mono"/>
          <w:b w:val="0"/>
          <w:i w:val="0"/>
          <w:sz w:val="17"/>
        </w:rPr>
        <w:t>pool_limit</w:t>
      </w:r>
      <w:r>
        <w:rPr>
          <w:b w:val="0"/>
          <w:i w:val="0"/>
        </w:rPr>
        <w:t xml:space="preserve"> and 1; </w:t>
      </w:r>
      <w:r>
        <w:rPr>
          <w:rFonts w:ascii="DejaVu Sans Mono" w:hAnsi="DejaVu Sans Mono"/>
          <w:b w:val="0"/>
          <w:i w:val="0"/>
          <w:sz w:val="17"/>
        </w:rPr>
        <w:t>weight_total</w:t>
      </w:r>
      <w:r>
        <w:rPr>
          <w:b w:val="0"/>
          <w:i w:val="0"/>
        </w:rPr>
        <w:t xml:space="preserve"> is their sum. </w:t>
      </w:r>
      <w:r>
        <w:rPr>
          <w:rFonts w:ascii="DejaVu Sans Mono" w:hAnsi="DejaVu Sans Mono"/>
          <w:b w:val="0"/>
          <w:i w:val="0"/>
          <w:sz w:val="17"/>
        </w:rPr>
        <w:t>native_initial_state</w:t>
      </w:r>
      <w:r>
        <w:rPr>
          <w:b w:val="0"/>
          <w:i w:val="0"/>
        </w:rPr>
        <w:t xml:space="preserve"> assigns </w:t>
      </w:r>
      <w:r>
        <w:rPr>
          <w:rFonts w:ascii="DejaVu Sans Mono" w:hAnsi="DejaVu Sans Mono"/>
          <w:b w:val="0"/>
          <w:i w:val="0"/>
          <w:sz w:val="17"/>
        </w:rPr>
        <w:t>capacity = operational_storage_mw * weighted[asset_id] / weight_total</w:t>
      </w:r>
      <w:r>
        <w:rPr>
          <w:b w:val="0"/>
          <w:i w:val="0"/>
        </w:rPr>
        <w:t xml:space="preserve">. Its energy is </w:t>
      </w:r>
      <w:r>
        <w:rPr>
          <w:rFonts w:ascii="DejaVu Sans Mono" w:hAnsi="DejaVu Sans Mono"/>
          <w:b w:val="0"/>
          <w:i w:val="0"/>
          <w:sz w:val="17"/>
        </w:rPr>
        <w:t>capacity * duration</w:t>
      </w:r>
      <w:r>
        <w:rPr>
          <w:b w:val="0"/>
          <w:i w:val="0"/>
        </w:rPr>
        <w:t xml:space="preserve">, where </w:t>
      </w:r>
      <w:r>
        <w:rPr>
          <w:rFonts w:ascii="DejaVu Sans Mono" w:hAnsi="DejaVu Sans Mono"/>
          <w:b w:val="0"/>
          <w:i w:val="0"/>
          <w:sz w:val="17"/>
        </w:rPr>
        <w:t>duration</w:t>
      </w:r>
      <w:r>
        <w:rPr>
          <w:b w:val="0"/>
          <w:i w:val="0"/>
        </w:rPr>
        <w:t xml:space="preserve"> comes from the technology catalogue. The 2025 pumped-hydro stock is specified separately as 2,828 MW and 26,700 MWh.</w:t>
      </w:r>
    </w:p>
    <w:p>
      <w:r>
        <w:rPr>
          <w:b w:val="0"/>
          <w:i w:val="0"/>
        </w:rPr>
        <w:t>The R029 2025 stock contains the capacities below. Its aggregated nuclear availability is 0.723, and run-of-river generation uses 0.3487 multiplied by the seasonal shape in Chapter 5. GBP1 selects its nuclear units through the station schedule, with the station availability and retirement rules also defined in Chapter 5.</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3"/>
        <w:gridCol w:w="1967"/>
        <w:gridCol w:w="2113"/>
        <w:gridCol w:w="2449"/>
      </w:tblGrid>
      <w:tr>
        <w:trPr>
          <w:cantSplit/>
          <w:tblHeader w:val="true"/>
        </w:trPr>
        <w:tc>
          <w:tcPr>
            <w:tcW w:type="dxa" w:w="3263"/>
            <w:vAlign w:val="center"/>
            <w:tcMar>
              <w:top w:w="90" w:type="dxa"/>
              <w:left w:w="90" w:type="dxa"/>
              <w:bottom w:w="90" w:type="dxa"/>
              <w:right w:w="90" w:type="dxa"/>
            </w:tcMar>
            <w:shd w:fill="EEEEEE"/>
          </w:tcPr>
          <w:p>
            <w:pPr>
              <w:spacing w:after="40" w:line="276" w:lineRule="auto"/>
            </w:pPr>
            <w:r>
              <w:rPr>
                <w:b/>
                <w:i w:val="0"/>
                <w:sz w:val="18"/>
              </w:rPr>
              <w:t>Technology</w:t>
            </w:r>
          </w:p>
        </w:tc>
        <w:tc>
          <w:tcPr>
            <w:tcW w:type="dxa" w:w="1967"/>
            <w:vAlign w:val="center"/>
            <w:tcMar>
              <w:top w:w="90" w:type="dxa"/>
              <w:left w:w="90" w:type="dxa"/>
              <w:bottom w:w="90" w:type="dxa"/>
              <w:right w:w="90" w:type="dxa"/>
            </w:tcMar>
            <w:shd w:fill="EEEEEE"/>
          </w:tcPr>
          <w:p>
            <w:pPr>
              <w:spacing w:after="40" w:line="276" w:lineRule="auto"/>
            </w:pPr>
            <w:r>
              <w:rPr>
                <w:b/>
                <w:i w:val="0"/>
                <w:sz w:val="18"/>
              </w:rPr>
              <w:t>Asset rows</w:t>
            </w:r>
          </w:p>
        </w:tc>
        <w:tc>
          <w:tcPr>
            <w:tcW w:type="dxa" w:w="2113"/>
            <w:vAlign w:val="center"/>
            <w:tcMar>
              <w:top w:w="90" w:type="dxa"/>
              <w:left w:w="90" w:type="dxa"/>
              <w:bottom w:w="90" w:type="dxa"/>
              <w:right w:w="90" w:type="dxa"/>
            </w:tcMar>
            <w:shd w:fill="EEEEEE"/>
          </w:tcPr>
          <w:p>
            <w:pPr>
              <w:spacing w:after="40" w:line="276" w:lineRule="auto"/>
            </w:pPr>
            <w:r>
              <w:rPr>
                <w:b/>
                <w:i w:val="0"/>
                <w:sz w:val="18"/>
              </w:rPr>
              <w:t>Power MW</w:t>
            </w:r>
          </w:p>
        </w:tc>
        <w:tc>
          <w:tcPr>
            <w:tcW w:type="dxa" w:w="2449"/>
            <w:vAlign w:val="center"/>
            <w:tcMar>
              <w:top w:w="90" w:type="dxa"/>
              <w:left w:w="90" w:type="dxa"/>
              <w:bottom w:w="90" w:type="dxa"/>
              <w:right w:w="90" w:type="dxa"/>
            </w:tcMar>
            <w:shd w:fill="EEEEEE"/>
          </w:tcPr>
          <w:p>
            <w:pPr>
              <w:spacing w:after="40" w:line="276" w:lineRule="auto"/>
            </w:pPr>
            <w:r>
              <w:rPr>
                <w:b/>
                <w:i w:val="0"/>
                <w:sz w:val="18"/>
              </w:rPr>
              <w:t>Stored energy MWh</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Combined-cycle gas turbine CCGT</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28,000</w:t>
            </w:r>
          </w:p>
        </w:tc>
        <w:tc>
          <w:tcPr>
            <w:tcW w:type="dxa" w:w="2449"/>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Run-of-river hydro</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2,000</w:t>
            </w:r>
          </w:p>
        </w:tc>
        <w:tc>
          <w:tcPr>
            <w:tcW w:type="dxa" w:w="2449"/>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Nuclear</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5,958</w:t>
            </w:r>
          </w:p>
        </w:tc>
        <w:tc>
          <w:tcPr>
            <w:tcW w:type="dxa" w:w="2449"/>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Open-cycle gas turbine OCGT</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4,146</w:t>
            </w:r>
          </w:p>
        </w:tc>
        <w:tc>
          <w:tcPr>
            <w:tcW w:type="dxa" w:w="2449"/>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Biomass and waste</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4,762</w:t>
            </w:r>
          </w:p>
        </w:tc>
        <w:tc>
          <w:tcPr>
            <w:tcW w:type="dxa" w:w="2449"/>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Offshore wind</w:t>
            </w:r>
          </w:p>
        </w:tc>
        <w:tc>
          <w:tcPr>
            <w:tcW w:type="dxa" w:w="1967"/>
            <w:vAlign w:val="center"/>
            <w:tcMar>
              <w:top w:w="90" w:type="dxa"/>
              <w:left w:w="90" w:type="dxa"/>
              <w:bottom w:w="90" w:type="dxa"/>
              <w:right w:w="90" w:type="dxa"/>
            </w:tcMar>
          </w:tcPr>
          <w:p>
            <w:pPr>
              <w:spacing w:after="40" w:line="276" w:lineRule="auto"/>
            </w:pPr>
            <w:r>
              <w:rPr>
                <w:b w:val="0"/>
                <w:i w:val="0"/>
                <w:sz w:val="18"/>
              </w:rPr>
              <w:t>18</w:t>
            </w:r>
          </w:p>
        </w:tc>
        <w:tc>
          <w:tcPr>
            <w:tcW w:type="dxa" w:w="2113"/>
            <w:vAlign w:val="center"/>
            <w:tcMar>
              <w:top w:w="90" w:type="dxa"/>
              <w:left w:w="90" w:type="dxa"/>
              <w:bottom w:w="90" w:type="dxa"/>
              <w:right w:w="90" w:type="dxa"/>
            </w:tcMar>
          </w:tcPr>
          <w:p>
            <w:pPr>
              <w:spacing w:after="40" w:line="276" w:lineRule="auto"/>
            </w:pPr>
            <w:r>
              <w:rPr>
                <w:b w:val="0"/>
                <w:i w:val="0"/>
                <w:sz w:val="18"/>
              </w:rPr>
              <w:t>14,679</w:t>
            </w:r>
          </w:p>
        </w:tc>
        <w:tc>
          <w:tcPr>
            <w:tcW w:type="dxa" w:w="2449"/>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Onshore wind</w:t>
            </w:r>
          </w:p>
        </w:tc>
        <w:tc>
          <w:tcPr>
            <w:tcW w:type="dxa" w:w="1967"/>
            <w:vAlign w:val="center"/>
            <w:tcMar>
              <w:top w:w="90" w:type="dxa"/>
              <w:left w:w="90" w:type="dxa"/>
              <w:bottom w:w="90" w:type="dxa"/>
              <w:right w:w="90" w:type="dxa"/>
            </w:tcMar>
          </w:tcPr>
          <w:p>
            <w:pPr>
              <w:spacing w:after="40" w:line="276" w:lineRule="auto"/>
            </w:pPr>
            <w:r>
              <w:rPr>
                <w:b w:val="0"/>
                <w:i w:val="0"/>
                <w:sz w:val="18"/>
              </w:rPr>
              <w:t>11</w:t>
            </w:r>
          </w:p>
        </w:tc>
        <w:tc>
          <w:tcPr>
            <w:tcW w:type="dxa" w:w="2113"/>
            <w:vAlign w:val="center"/>
            <w:tcMar>
              <w:top w:w="90" w:type="dxa"/>
              <w:left w:w="90" w:type="dxa"/>
              <w:bottom w:w="90" w:type="dxa"/>
              <w:right w:w="90" w:type="dxa"/>
            </w:tcMar>
          </w:tcPr>
          <w:p>
            <w:pPr>
              <w:spacing w:after="40" w:line="276" w:lineRule="auto"/>
            </w:pPr>
            <w:r>
              <w:rPr>
                <w:b w:val="0"/>
                <w:i w:val="0"/>
                <w:sz w:val="18"/>
              </w:rPr>
              <w:t>14,711.65</w:t>
            </w:r>
          </w:p>
        </w:tc>
        <w:tc>
          <w:tcPr>
            <w:tcW w:type="dxa" w:w="2449"/>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Solar</w:t>
            </w:r>
          </w:p>
        </w:tc>
        <w:tc>
          <w:tcPr>
            <w:tcW w:type="dxa" w:w="1967"/>
            <w:vAlign w:val="center"/>
            <w:tcMar>
              <w:top w:w="90" w:type="dxa"/>
              <w:left w:w="90" w:type="dxa"/>
              <w:bottom w:w="90" w:type="dxa"/>
              <w:right w:w="90" w:type="dxa"/>
            </w:tcMar>
          </w:tcPr>
          <w:p>
            <w:pPr>
              <w:spacing w:after="40" w:line="276" w:lineRule="auto"/>
            </w:pPr>
            <w:r>
              <w:rPr>
                <w:b w:val="0"/>
                <w:i w:val="0"/>
                <w:sz w:val="18"/>
              </w:rPr>
              <w:t>11</w:t>
            </w:r>
          </w:p>
        </w:tc>
        <w:tc>
          <w:tcPr>
            <w:tcW w:type="dxa" w:w="2113"/>
            <w:vAlign w:val="center"/>
            <w:tcMar>
              <w:top w:w="90" w:type="dxa"/>
              <w:left w:w="90" w:type="dxa"/>
              <w:bottom w:w="90" w:type="dxa"/>
              <w:right w:w="90" w:type="dxa"/>
            </w:tcMar>
          </w:tcPr>
          <w:p>
            <w:pPr>
              <w:spacing w:after="40" w:line="276" w:lineRule="auto"/>
            </w:pPr>
            <w:r>
              <w:rPr>
                <w:b w:val="0"/>
                <w:i w:val="0"/>
                <w:sz w:val="18"/>
              </w:rPr>
              <w:t>10,066.98</w:t>
            </w:r>
          </w:p>
        </w:tc>
        <w:tc>
          <w:tcPr>
            <w:tcW w:type="dxa" w:w="2449"/>
            <w:vAlign w:val="center"/>
            <w:tcMar>
              <w:top w:w="90" w:type="dxa"/>
              <w:left w:w="90" w:type="dxa"/>
              <w:bottom w:w="90" w:type="dxa"/>
              <w:right w:w="90" w:type="dxa"/>
            </w:tcMar>
          </w:tcPr>
          <w:p>
            <w:pPr>
              <w:spacing w:after="40" w:line="276" w:lineRule="auto"/>
            </w:pPr>
            <w:r>
              <w:rPr>
                <w:b w:val="0"/>
                <w:i w:val="0"/>
                <w:sz w:val="18"/>
              </w:rPr>
              <w:t>—</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0.25C battery</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299.984165</w:t>
            </w:r>
          </w:p>
        </w:tc>
        <w:tc>
          <w:tcPr>
            <w:tcW w:type="dxa" w:w="2449"/>
            <w:vAlign w:val="center"/>
            <w:tcMar>
              <w:top w:w="90" w:type="dxa"/>
              <w:left w:w="90" w:type="dxa"/>
              <w:bottom w:w="90" w:type="dxa"/>
              <w:right w:w="90" w:type="dxa"/>
            </w:tcMar>
          </w:tcPr>
          <w:p>
            <w:pPr>
              <w:spacing w:after="40" w:line="276" w:lineRule="auto"/>
            </w:pPr>
            <w:r>
              <w:rPr>
                <w:b w:val="0"/>
                <w:i w:val="0"/>
                <w:sz w:val="18"/>
              </w:rPr>
              <w:t>1,199.936659</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0.5C battery</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2,465.869834</w:t>
            </w:r>
          </w:p>
        </w:tc>
        <w:tc>
          <w:tcPr>
            <w:tcW w:type="dxa" w:w="2449"/>
            <w:vAlign w:val="center"/>
            <w:tcMar>
              <w:top w:w="90" w:type="dxa"/>
              <w:left w:w="90" w:type="dxa"/>
              <w:bottom w:w="90" w:type="dxa"/>
              <w:right w:w="90" w:type="dxa"/>
            </w:tcMar>
          </w:tcPr>
          <w:p>
            <w:pPr>
              <w:spacing w:after="40" w:line="276" w:lineRule="auto"/>
            </w:pPr>
            <w:r>
              <w:rPr>
                <w:b w:val="0"/>
                <w:i w:val="0"/>
                <w:sz w:val="18"/>
              </w:rPr>
              <w:t>4,931.739667</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1C battery</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74.996041</w:t>
            </w:r>
          </w:p>
        </w:tc>
        <w:tc>
          <w:tcPr>
            <w:tcW w:type="dxa" w:w="2449"/>
            <w:vAlign w:val="center"/>
            <w:tcMar>
              <w:top w:w="90" w:type="dxa"/>
              <w:left w:w="90" w:type="dxa"/>
              <w:bottom w:w="90" w:type="dxa"/>
              <w:right w:w="90" w:type="dxa"/>
            </w:tcMar>
          </w:tcPr>
          <w:p>
            <w:pPr>
              <w:spacing w:after="40" w:line="276" w:lineRule="auto"/>
            </w:pPr>
            <w:r>
              <w:rPr>
                <w:b w:val="0"/>
                <w:i w:val="0"/>
                <w:sz w:val="18"/>
              </w:rPr>
              <w:t>74.996041</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Hydrogen storage</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0.749960</w:t>
            </w:r>
          </w:p>
        </w:tc>
        <w:tc>
          <w:tcPr>
            <w:tcW w:type="dxa" w:w="2449"/>
            <w:vAlign w:val="center"/>
            <w:tcMar>
              <w:top w:w="90" w:type="dxa"/>
              <w:left w:w="90" w:type="dxa"/>
              <w:bottom w:w="90" w:type="dxa"/>
              <w:right w:w="90" w:type="dxa"/>
            </w:tcMar>
          </w:tcPr>
          <w:p>
            <w:pPr>
              <w:spacing w:after="40" w:line="276" w:lineRule="auto"/>
            </w:pPr>
            <w:r>
              <w:rPr>
                <w:b w:val="0"/>
                <w:i w:val="0"/>
                <w:sz w:val="18"/>
              </w:rPr>
              <w:t>187.490103</w:t>
            </w:r>
          </w:p>
        </w:tc>
      </w:tr>
      <w:tr>
        <w:trPr>
          <w:cantSplit/>
        </w:trPr>
        <w:tc>
          <w:tcPr>
            <w:tcW w:type="dxa" w:w="3263"/>
            <w:vAlign w:val="center"/>
            <w:tcMar>
              <w:top w:w="90" w:type="dxa"/>
              <w:left w:w="90" w:type="dxa"/>
              <w:bottom w:w="90" w:type="dxa"/>
              <w:right w:w="90" w:type="dxa"/>
            </w:tcMar>
          </w:tcPr>
          <w:p>
            <w:pPr>
              <w:spacing w:after="40" w:line="276" w:lineRule="auto"/>
            </w:pPr>
            <w:r>
              <w:rPr>
                <w:b w:val="0"/>
                <w:i w:val="0"/>
                <w:sz w:val="18"/>
              </w:rPr>
              <w:t>Pumped hydro</w:t>
            </w:r>
          </w:p>
        </w:tc>
        <w:tc>
          <w:tcPr>
            <w:tcW w:type="dxa" w:w="1967"/>
            <w:vAlign w:val="center"/>
            <w:tcMar>
              <w:top w:w="90" w:type="dxa"/>
              <w:left w:w="90" w:type="dxa"/>
              <w:bottom w:w="90" w:type="dxa"/>
              <w:right w:w="90" w:type="dxa"/>
            </w:tcMar>
          </w:tcPr>
          <w:p>
            <w:pPr>
              <w:spacing w:after="40" w:line="276" w:lineRule="auto"/>
            </w:pPr>
            <w:r>
              <w:rPr>
                <w:b w:val="0"/>
                <w:i w:val="0"/>
                <w:sz w:val="18"/>
              </w:rPr>
              <w:t>1</w:t>
            </w:r>
          </w:p>
        </w:tc>
        <w:tc>
          <w:tcPr>
            <w:tcW w:type="dxa" w:w="2113"/>
            <w:vAlign w:val="center"/>
            <w:tcMar>
              <w:top w:w="90" w:type="dxa"/>
              <w:left w:w="90" w:type="dxa"/>
              <w:bottom w:w="90" w:type="dxa"/>
              <w:right w:w="90" w:type="dxa"/>
            </w:tcMar>
          </w:tcPr>
          <w:p>
            <w:pPr>
              <w:spacing w:after="40" w:line="276" w:lineRule="auto"/>
            </w:pPr>
            <w:r>
              <w:rPr>
                <w:b w:val="0"/>
                <w:i w:val="0"/>
                <w:sz w:val="18"/>
              </w:rPr>
              <w:t>2,828</w:t>
            </w:r>
          </w:p>
        </w:tc>
        <w:tc>
          <w:tcPr>
            <w:tcW w:type="dxa" w:w="2449"/>
            <w:vAlign w:val="center"/>
            <w:tcMar>
              <w:top w:w="90" w:type="dxa"/>
              <w:left w:w="90" w:type="dxa"/>
              <w:bottom w:w="90" w:type="dxa"/>
              <w:right w:w="90" w:type="dxa"/>
            </w:tcMar>
          </w:tcPr>
          <w:p>
            <w:pPr>
              <w:spacing w:after="40" w:line="276" w:lineRule="auto"/>
            </w:pPr>
            <w:r>
              <w:rPr>
                <w:b w:val="0"/>
                <w:i w:val="0"/>
                <w:sz w:val="18"/>
              </w:rPr>
              <w:t>26,700</w:t>
            </w:r>
          </w:p>
        </w:tc>
      </w:tr>
    </w:tbl>
    <w:p>
      <w:pPr>
        <w:spacing w:after="20"/>
      </w:pPr>
    </w:p>
    <w:p>
      <w:pPr>
        <w:pStyle w:val="Heading2"/>
      </w:pPr>
      <w:r>
        <w:rPr>
          <w:b w:val="0"/>
          <w:i w:val="0"/>
        </w:rPr>
        <w:t>Planning inputs</w:t>
      </w:r>
    </w:p>
    <w:p>
      <w:r>
        <w:rPr>
          <w:b w:val="0"/>
          <w:i w:val="0"/>
        </w:rPr>
        <w:t xml:space="preserve">Project development uses technology- and region-specific success rates and technology-specific stage durations. </w:t>
      </w:r>
      <w:r>
        <w:rPr>
          <w:rFonts w:ascii="DejaVu Sans Mono" w:hAnsi="DejaVu Sans Mono"/>
          <w:b w:val="0"/>
          <w:i w:val="0"/>
          <w:sz w:val="17"/>
        </w:rPr>
        <w:t>regional_​technology_​success_​rates.csv</w:t>
      </w:r>
      <w:r>
        <w:rPr>
          <w:b w:val="0"/>
          <w:i w:val="0"/>
        </w:rPr>
        <w:t xml:space="preserve"> contains 46 records; </w:t>
      </w:r>
      <w:r>
        <w:rPr>
          <w:rFonts w:ascii="DejaVu Sans Mono" w:hAnsi="DejaVu Sans Mono"/>
          <w:b w:val="0"/>
          <w:i w:val="0"/>
          <w:sz w:val="17"/>
        </w:rPr>
        <w:t>planning_timelines.json</w:t>
      </w:r>
      <w:r>
        <w:rPr>
          <w:b w:val="0"/>
          <w:i w:val="0"/>
        </w:rPr>
        <w:t xml:space="preserve"> supplies durations in months. </w:t>
      </w:r>
      <w:r>
        <w:rPr>
          <w:rFonts w:ascii="DejaVu Sans Mono" w:hAnsi="DejaVu Sans Mono"/>
          <w:b w:val="0"/>
          <w:i w:val="0"/>
          <w:sz w:val="17"/>
        </w:rPr>
        <w:t>development_​stage_​timelines</w:t>
      </w:r>
      <w:r>
        <w:rPr>
          <w:b w:val="0"/>
          <w:i w:val="0"/>
        </w:rPr>
        <w:t xml:space="preserve">, </w:t>
      </w:r>
      <w:r>
        <w:rPr>
          <w:rFonts w:ascii="DejaVu Sans Mono" w:hAnsi="DejaVu Sans Mono"/>
          <w:b w:val="0"/>
          <w:i w:val="0"/>
          <w:sz w:val="17"/>
        </w:rPr>
        <w:t>repd_status_to_timeline</w:t>
      </w:r>
      <w:r>
        <w:rPr>
          <w:b w:val="0"/>
          <w:i w:val="0"/>
        </w:rPr>
        <w:t xml:space="preserve"> and </w:t>
      </w:r>
      <w:r>
        <w:rPr>
          <w:rFonts w:ascii="DejaVu Sans Mono" w:hAnsi="DejaVu Sans Mono"/>
          <w:b w:val="0"/>
          <w:i w:val="0"/>
          <w:sz w:val="17"/>
        </w:rPr>
        <w:t>success_rates</w:t>
      </w:r>
      <w:r>
        <w:rPr>
          <w:b w:val="0"/>
          <w:i w:val="0"/>
        </w:rPr>
        <w:t xml:space="preserve"> are stored in the initial state and supply both existing planned projects and new investment proposals.</w:t>
      </w:r>
    </w:p>
    <w:p>
      <w:r>
        <w:rPr>
          <w:b w:val="0"/>
          <w:i w:val="0"/>
        </w:rPr>
        <w:t>The input medians distinguish development from construction. Status mappings select the relevant remaining stages. The following preprocessing constructs the initial project list; Chapter 6 advances these projects and admits new investment proposals each year.</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84"/>
        <w:gridCol w:w="3567"/>
        <w:gridCol w:w="3641"/>
      </w:tblGrid>
      <w:tr>
        <w:trPr>
          <w:cantSplit/>
          <w:tblHeader w:val="true"/>
        </w:trPr>
        <w:tc>
          <w:tcPr>
            <w:tcW w:type="dxa" w:w="2584"/>
            <w:vAlign w:val="center"/>
            <w:tcMar>
              <w:top w:w="90" w:type="dxa"/>
              <w:left w:w="90" w:type="dxa"/>
              <w:bottom w:w="90" w:type="dxa"/>
              <w:right w:w="90" w:type="dxa"/>
            </w:tcMar>
            <w:shd w:fill="EEEEEE"/>
          </w:tcPr>
          <w:p>
            <w:pPr>
              <w:spacing w:after="40" w:line="276" w:lineRule="auto"/>
            </w:pPr>
            <w:r>
              <w:rPr>
                <w:b/>
                <w:i w:val="0"/>
                <w:sz w:val="18"/>
              </w:rPr>
              <w:t>Technology</w:t>
            </w:r>
          </w:p>
        </w:tc>
        <w:tc>
          <w:tcPr>
            <w:tcW w:type="dxa" w:w="3567"/>
            <w:vAlign w:val="center"/>
            <w:tcMar>
              <w:top w:w="90" w:type="dxa"/>
              <w:left w:w="90" w:type="dxa"/>
              <w:bottom w:w="90" w:type="dxa"/>
              <w:right w:w="90" w:type="dxa"/>
            </w:tcMar>
            <w:shd w:fill="EEEEEE"/>
          </w:tcPr>
          <w:p>
            <w:pPr>
              <w:spacing w:after="40" w:line="276" w:lineRule="auto"/>
            </w:pPr>
            <w:r>
              <w:rPr>
                <w:b/>
                <w:i w:val="0"/>
                <w:sz w:val="18"/>
              </w:rPr>
              <w:t>Median development months</w:t>
            </w:r>
          </w:p>
        </w:tc>
        <w:tc>
          <w:tcPr>
            <w:tcW w:type="dxa" w:w="3641"/>
            <w:vAlign w:val="center"/>
            <w:tcMar>
              <w:top w:w="90" w:type="dxa"/>
              <w:left w:w="90" w:type="dxa"/>
              <w:bottom w:w="90" w:type="dxa"/>
              <w:right w:w="90" w:type="dxa"/>
            </w:tcMar>
            <w:shd w:fill="EEEEEE"/>
          </w:tcPr>
          <w:p>
            <w:pPr>
              <w:spacing w:after="40" w:line="276" w:lineRule="auto"/>
            </w:pPr>
            <w:r>
              <w:rPr>
                <w:b/>
                <w:i w:val="0"/>
                <w:sz w:val="18"/>
              </w:rPr>
              <w:t>Median construction months</w:t>
            </w:r>
          </w:p>
        </w:tc>
      </w:tr>
      <w:tr>
        <w:trPr>
          <w:cantSplit/>
        </w:trPr>
        <w:tc>
          <w:tcPr>
            <w:tcW w:type="dxa" w:w="2584"/>
            <w:vAlign w:val="center"/>
            <w:tcMar>
              <w:top w:w="90" w:type="dxa"/>
              <w:left w:w="90" w:type="dxa"/>
              <w:bottom w:w="90" w:type="dxa"/>
              <w:right w:w="90" w:type="dxa"/>
            </w:tcMar>
          </w:tcPr>
          <w:p>
            <w:pPr>
              <w:spacing w:after="40" w:line="276" w:lineRule="auto"/>
            </w:pPr>
            <w:r>
              <w:rPr>
                <w:b w:val="0"/>
                <w:i w:val="0"/>
                <w:sz w:val="18"/>
              </w:rPr>
              <w:t>Solar</w:t>
            </w:r>
          </w:p>
        </w:tc>
        <w:tc>
          <w:tcPr>
            <w:tcW w:type="dxa" w:w="3567"/>
            <w:vAlign w:val="center"/>
            <w:tcMar>
              <w:top w:w="90" w:type="dxa"/>
              <w:left w:w="90" w:type="dxa"/>
              <w:bottom w:w="90" w:type="dxa"/>
              <w:right w:w="90" w:type="dxa"/>
            </w:tcMar>
          </w:tcPr>
          <w:p>
            <w:pPr>
              <w:spacing w:after="40" w:line="276" w:lineRule="auto"/>
            </w:pPr>
            <w:r>
              <w:rPr>
                <w:b w:val="0"/>
                <w:i w:val="0"/>
                <w:sz w:val="18"/>
              </w:rPr>
              <w:t>27.8</w:t>
            </w:r>
          </w:p>
        </w:tc>
        <w:tc>
          <w:tcPr>
            <w:tcW w:type="dxa" w:w="3641"/>
            <w:vAlign w:val="center"/>
            <w:tcMar>
              <w:top w:w="90" w:type="dxa"/>
              <w:left w:w="90" w:type="dxa"/>
              <w:bottom w:w="90" w:type="dxa"/>
              <w:right w:w="90" w:type="dxa"/>
            </w:tcMar>
          </w:tcPr>
          <w:p>
            <w:pPr>
              <w:spacing w:after="40" w:line="276" w:lineRule="auto"/>
            </w:pPr>
            <w:r>
              <w:rPr>
                <w:b w:val="0"/>
                <w:i w:val="0"/>
                <w:sz w:val="18"/>
              </w:rPr>
              <w:t>4.9</w:t>
            </w:r>
          </w:p>
        </w:tc>
      </w:tr>
      <w:tr>
        <w:trPr>
          <w:cantSplit/>
        </w:trPr>
        <w:tc>
          <w:tcPr>
            <w:tcW w:type="dxa" w:w="2584"/>
            <w:vAlign w:val="center"/>
            <w:tcMar>
              <w:top w:w="90" w:type="dxa"/>
              <w:left w:w="90" w:type="dxa"/>
              <w:bottom w:w="90" w:type="dxa"/>
              <w:right w:w="90" w:type="dxa"/>
            </w:tcMar>
          </w:tcPr>
          <w:p>
            <w:pPr>
              <w:spacing w:after="40" w:line="276" w:lineRule="auto"/>
            </w:pPr>
            <w:r>
              <w:rPr>
                <w:b w:val="0"/>
                <w:i w:val="0"/>
                <w:sz w:val="18"/>
              </w:rPr>
              <w:t>Onshore wind</w:t>
            </w:r>
          </w:p>
        </w:tc>
        <w:tc>
          <w:tcPr>
            <w:tcW w:type="dxa" w:w="3567"/>
            <w:vAlign w:val="center"/>
            <w:tcMar>
              <w:top w:w="90" w:type="dxa"/>
              <w:left w:w="90" w:type="dxa"/>
              <w:bottom w:w="90" w:type="dxa"/>
              <w:right w:w="90" w:type="dxa"/>
            </w:tcMar>
          </w:tcPr>
          <w:p>
            <w:pPr>
              <w:spacing w:after="40" w:line="276" w:lineRule="auto"/>
            </w:pPr>
            <w:r>
              <w:rPr>
                <w:b w:val="0"/>
                <w:i w:val="0"/>
                <w:sz w:val="18"/>
              </w:rPr>
              <w:t>62.5</w:t>
            </w:r>
          </w:p>
        </w:tc>
        <w:tc>
          <w:tcPr>
            <w:tcW w:type="dxa" w:w="3641"/>
            <w:vAlign w:val="center"/>
            <w:tcMar>
              <w:top w:w="90" w:type="dxa"/>
              <w:left w:w="90" w:type="dxa"/>
              <w:bottom w:w="90" w:type="dxa"/>
              <w:right w:w="90" w:type="dxa"/>
            </w:tcMar>
          </w:tcPr>
          <w:p>
            <w:pPr>
              <w:spacing w:after="40" w:line="276" w:lineRule="auto"/>
            </w:pPr>
            <w:r>
              <w:rPr>
                <w:b w:val="0"/>
                <w:i w:val="0"/>
                <w:sz w:val="18"/>
              </w:rPr>
              <w:t>15.0</w:t>
            </w:r>
          </w:p>
        </w:tc>
      </w:tr>
      <w:tr>
        <w:trPr>
          <w:cantSplit/>
        </w:trPr>
        <w:tc>
          <w:tcPr>
            <w:tcW w:type="dxa" w:w="2584"/>
            <w:vAlign w:val="center"/>
            <w:tcMar>
              <w:top w:w="90" w:type="dxa"/>
              <w:left w:w="90" w:type="dxa"/>
              <w:bottom w:w="90" w:type="dxa"/>
              <w:right w:w="90" w:type="dxa"/>
            </w:tcMar>
          </w:tcPr>
          <w:p>
            <w:pPr>
              <w:spacing w:after="40" w:line="276" w:lineRule="auto"/>
            </w:pPr>
            <w:r>
              <w:rPr>
                <w:b w:val="0"/>
                <w:i w:val="0"/>
                <w:sz w:val="18"/>
              </w:rPr>
              <w:t>Offshore wind</w:t>
            </w:r>
          </w:p>
        </w:tc>
        <w:tc>
          <w:tcPr>
            <w:tcW w:type="dxa" w:w="3567"/>
            <w:vAlign w:val="center"/>
            <w:tcMar>
              <w:top w:w="90" w:type="dxa"/>
              <w:left w:w="90" w:type="dxa"/>
              <w:bottom w:w="90" w:type="dxa"/>
              <w:right w:w="90" w:type="dxa"/>
            </w:tcMar>
          </w:tcPr>
          <w:p>
            <w:pPr>
              <w:spacing w:after="40" w:line="276" w:lineRule="auto"/>
            </w:pPr>
            <w:r>
              <w:rPr>
                <w:b w:val="0"/>
                <w:i w:val="0"/>
                <w:sz w:val="18"/>
              </w:rPr>
              <w:t>110.1</w:t>
            </w:r>
          </w:p>
        </w:tc>
        <w:tc>
          <w:tcPr>
            <w:tcW w:type="dxa" w:w="3641"/>
            <w:vAlign w:val="center"/>
            <w:tcMar>
              <w:top w:w="90" w:type="dxa"/>
              <w:left w:w="90" w:type="dxa"/>
              <w:bottom w:w="90" w:type="dxa"/>
              <w:right w:w="90" w:type="dxa"/>
            </w:tcMar>
          </w:tcPr>
          <w:p>
            <w:pPr>
              <w:spacing w:after="40" w:line="276" w:lineRule="auto"/>
            </w:pPr>
            <w:r>
              <w:rPr>
                <w:b w:val="0"/>
                <w:i w:val="0"/>
                <w:sz w:val="18"/>
              </w:rPr>
              <w:t>32.2</w:t>
            </w:r>
          </w:p>
        </w:tc>
      </w:tr>
      <w:tr>
        <w:trPr>
          <w:cantSplit/>
        </w:trPr>
        <w:tc>
          <w:tcPr>
            <w:tcW w:type="dxa" w:w="2584"/>
            <w:vAlign w:val="center"/>
            <w:tcMar>
              <w:top w:w="90" w:type="dxa"/>
              <w:left w:w="90" w:type="dxa"/>
              <w:bottom w:w="90" w:type="dxa"/>
              <w:right w:w="90" w:type="dxa"/>
            </w:tcMar>
          </w:tcPr>
          <w:p>
            <w:pPr>
              <w:spacing w:after="40" w:line="276" w:lineRule="auto"/>
            </w:pPr>
            <w:r>
              <w:rPr>
                <w:b w:val="0"/>
                <w:i w:val="0"/>
                <w:sz w:val="18"/>
              </w:rPr>
              <w:t>Battery</w:t>
            </w:r>
          </w:p>
        </w:tc>
        <w:tc>
          <w:tcPr>
            <w:tcW w:type="dxa" w:w="3567"/>
            <w:vAlign w:val="center"/>
            <w:tcMar>
              <w:top w:w="90" w:type="dxa"/>
              <w:left w:w="90" w:type="dxa"/>
              <w:bottom w:w="90" w:type="dxa"/>
              <w:right w:w="90" w:type="dxa"/>
            </w:tcMar>
          </w:tcPr>
          <w:p>
            <w:pPr>
              <w:spacing w:after="40" w:line="276" w:lineRule="auto"/>
            </w:pPr>
            <w:r>
              <w:rPr>
                <w:b w:val="0"/>
                <w:i w:val="0"/>
                <w:sz w:val="18"/>
              </w:rPr>
              <w:t>31.3</w:t>
            </w:r>
          </w:p>
        </w:tc>
        <w:tc>
          <w:tcPr>
            <w:tcW w:type="dxa" w:w="3641"/>
            <w:vAlign w:val="center"/>
            <w:tcMar>
              <w:top w:w="90" w:type="dxa"/>
              <w:left w:w="90" w:type="dxa"/>
              <w:bottom w:w="90" w:type="dxa"/>
              <w:right w:w="90" w:type="dxa"/>
            </w:tcMar>
          </w:tcPr>
          <w:p>
            <w:pPr>
              <w:spacing w:after="40" w:line="276" w:lineRule="auto"/>
            </w:pPr>
            <w:r>
              <w:rPr>
                <w:b w:val="0"/>
                <w:i w:val="0"/>
                <w:sz w:val="18"/>
              </w:rPr>
              <w:t>10.1</w:t>
            </w:r>
          </w:p>
        </w:tc>
      </w:tr>
    </w:tbl>
    <w:p>
      <w:pPr>
        <w:spacing w:after="20"/>
      </w:pPr>
    </w:p>
    <w:p>
      <w:r>
        <w:rPr>
          <w:b w:val="0"/>
          <w:i w:val="0"/>
        </w:rPr>
        <w:t xml:space="preserve">Initial planned projects are selected by capacity, development status and recorded progress. </w:t>
      </w:r>
      <w:r>
        <w:rPr>
          <w:rFonts w:ascii="DejaVu Sans Mono" w:hAnsi="DejaVu Sans Mono"/>
          <w:b w:val="0"/>
          <w:i w:val="0"/>
          <w:sz w:val="17"/>
        </w:rPr>
        <w:t>native_initial_state</w:t>
      </w:r>
      <w:r>
        <w:rPr>
          <w:b w:val="0"/>
          <w:i w:val="0"/>
        </w:rPr>
        <w:t xml:space="preserve"> uses the controls below; the default </w:t>
      </w:r>
      <w:r>
        <w:rPr>
          <w:rFonts w:ascii="DejaVu Sans Mono" w:hAnsi="DejaVu Sans Mono"/>
          <w:b w:val="0"/>
          <w:i w:val="0"/>
          <w:sz w:val="17"/>
        </w:rPr>
        <w:t>planning.success_​mode="expected"</w:t>
      </w:r>
      <w:r>
        <w:rPr>
          <w:b w:val="0"/>
          <w:i w:val="0"/>
        </w:rPr>
        <w:t xml:space="preserve"> is read as </w:t>
      </w:r>
      <w:r>
        <w:rPr>
          <w:rFonts w:ascii="DejaVu Sans Mono" w:hAnsi="DejaVu Sans Mono"/>
          <w:b w:val="0"/>
          <w:i w:val="0"/>
          <w:sz w:val="17"/>
        </w:rPr>
        <w:t>success_​mode="expected_capacity"</w:t>
      </w:r>
      <w:r>
        <w:rPr>
          <w:b w:val="0"/>
          <w:i w:val="0"/>
        </w:rPr>
        <w:t xml:space="preserve">. </w:t>
      </w:r>
      <w:r>
        <w:rPr>
          <w:rFonts w:ascii="DejaVu Sans Mono" w:hAnsi="DejaVu Sans Mono"/>
          <w:b w:val="0"/>
          <w:i w:val="0"/>
          <w:sz w:val="17"/>
        </w:rPr>
        <w:t>year</w:t>
      </w:r>
      <w:r>
        <w:rPr>
          <w:b w:val="0"/>
          <w:i w:val="0"/>
        </w:rPr>
        <w:t xml:space="preserve"> is the study's start year and </w:t>
      </w:r>
      <w:r>
        <w:rPr>
          <w:rFonts w:ascii="DejaVu Sans Mono" w:hAnsi="DejaVu Sans Mono"/>
          <w:b w:val="0"/>
          <w:i w:val="0"/>
          <w:sz w:val="17"/>
        </w:rPr>
        <w:t>capacity</w:t>
      </w:r>
      <w:r>
        <w:rPr>
          <w:b w:val="0"/>
          <w:i w:val="0"/>
        </w:rPr>
        <w:t xml:space="preserve"> is the source project's MW.</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1"/>
        <w:gridCol w:w="2696"/>
        <w:gridCol w:w="3855"/>
      </w:tblGrid>
      <w:tr>
        <w:trPr>
          <w:cantSplit/>
          <w:tblHeader w:val="true"/>
        </w:trPr>
        <w:tc>
          <w:tcPr>
            <w:tcW w:type="dxa" w:w="3241"/>
            <w:vAlign w:val="center"/>
            <w:tcMar>
              <w:top w:w="90" w:type="dxa"/>
              <w:left w:w="90" w:type="dxa"/>
              <w:bottom w:w="90" w:type="dxa"/>
              <w:right w:w="90" w:type="dxa"/>
            </w:tcMar>
            <w:shd w:fill="EEEEEE"/>
          </w:tcPr>
          <w:p>
            <w:pPr>
              <w:spacing w:after="40" w:line="276" w:lineRule="auto"/>
            </w:pPr>
            <w:r>
              <w:rPr>
                <w:b/>
                <w:i w:val="0"/>
                <w:sz w:val="18"/>
              </w:rPr>
              <w:t>Parameter</w:t>
            </w:r>
          </w:p>
        </w:tc>
        <w:tc>
          <w:tcPr>
            <w:tcW w:type="dxa" w:w="2696"/>
            <w:vAlign w:val="center"/>
            <w:tcMar>
              <w:top w:w="90" w:type="dxa"/>
              <w:left w:w="90" w:type="dxa"/>
              <w:bottom w:w="90" w:type="dxa"/>
              <w:right w:w="90" w:type="dxa"/>
            </w:tcMar>
            <w:shd w:fill="EEEEEE"/>
          </w:tcPr>
          <w:p>
            <w:pPr>
              <w:spacing w:after="40" w:line="276" w:lineRule="auto"/>
            </w:pPr>
            <w:r>
              <w:rPr>
                <w:b/>
                <w:i w:val="0"/>
                <w:sz w:val="18"/>
              </w:rPr>
              <w:t>Default</w:t>
            </w:r>
          </w:p>
        </w:tc>
        <w:tc>
          <w:tcPr>
            <w:tcW w:type="dxa" w:w="3855"/>
            <w:vAlign w:val="center"/>
            <w:tcMar>
              <w:top w:w="90" w:type="dxa"/>
              <w:left w:w="90" w:type="dxa"/>
              <w:bottom w:w="90" w:type="dxa"/>
              <w:right w:w="90" w:type="dxa"/>
            </w:tcMar>
            <w:shd w:fill="EEEEEE"/>
          </w:tcPr>
          <w:p>
            <w:pPr>
              <w:spacing w:after="40" w:line="276" w:lineRule="auto"/>
            </w:pPr>
            <w:r>
              <w:rPr>
                <w:b/>
                <w:i w:val="0"/>
                <w:sz w:val="18"/>
              </w:rPr>
              <w:t>Use</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planning.minimum_​project_​size_​mw</w:t>
            </w:r>
          </w:p>
        </w:tc>
        <w:tc>
          <w:tcPr>
            <w:tcW w:type="dxa" w:w="2696"/>
            <w:vAlign w:val="center"/>
            <w:tcMar>
              <w:top w:w="90" w:type="dxa"/>
              <w:left w:w="90" w:type="dxa"/>
              <w:bottom w:w="90" w:type="dxa"/>
              <w:right w:w="90" w:type="dxa"/>
            </w:tcMar>
          </w:tcPr>
          <w:p>
            <w:pPr>
              <w:spacing w:after="40" w:line="276" w:lineRule="auto"/>
            </w:pPr>
            <w:r>
              <w:rPr>
                <w:b w:val="0"/>
                <w:i w:val="0"/>
                <w:sz w:val="18"/>
              </w:rPr>
              <w:t>1 MW</w:t>
            </w:r>
          </w:p>
        </w:tc>
        <w:tc>
          <w:tcPr>
            <w:tcW w:type="dxa" w:w="3855"/>
            <w:vAlign w:val="center"/>
            <w:tcMar>
              <w:top w:w="90" w:type="dxa"/>
              <w:left w:w="90" w:type="dxa"/>
              <w:bottom w:w="90" w:type="dxa"/>
              <w:right w:w="90" w:type="dxa"/>
            </w:tcMar>
          </w:tcPr>
          <w:p>
            <w:pPr>
              <w:spacing w:after="40" w:line="276" w:lineRule="auto"/>
            </w:pPr>
            <w:r>
              <w:rPr>
                <w:b w:val="0"/>
                <w:i w:val="0"/>
                <w:sz w:val="18"/>
              </w:rPr>
              <w:t>Smallest positive project admitted</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planning.include_​uncertain_​projects</w:t>
            </w:r>
          </w:p>
        </w:tc>
        <w:tc>
          <w:tcPr>
            <w:tcW w:type="dxa" w:w="2696"/>
            <w:vAlign w:val="center"/>
            <w:tcMar>
              <w:top w:w="90" w:type="dxa"/>
              <w:left w:w="90" w:type="dxa"/>
              <w:bottom w:w="90" w:type="dxa"/>
              <w:right w:w="90" w:type="dxa"/>
            </w:tcMar>
          </w:tcPr>
          <w:p>
            <w:pPr>
              <w:spacing w:after="40" w:line="276" w:lineRule="auto"/>
            </w:pPr>
            <w:r>
              <w:rPr>
                <w:rFonts w:ascii="DejaVu Sans Mono" w:hAnsi="DejaVu Sans Mono"/>
                <w:b w:val="0"/>
                <w:i w:val="0"/>
                <w:sz w:val="18"/>
              </w:rPr>
              <w:t>true</w:t>
            </w:r>
          </w:p>
        </w:tc>
        <w:tc>
          <w:tcPr>
            <w:tcW w:type="dxa" w:w="3855"/>
            <w:vAlign w:val="center"/>
            <w:tcMar>
              <w:top w:w="90" w:type="dxa"/>
              <w:left w:w="90" w:type="dxa"/>
              <w:bottom w:w="90" w:type="dxa"/>
              <w:right w:w="90" w:type="dxa"/>
            </w:tcMar>
          </w:tcPr>
          <w:p>
            <w:pPr>
              <w:spacing w:after="40" w:line="276" w:lineRule="auto"/>
            </w:pPr>
            <w:r>
              <w:rPr>
                <w:b w:val="0"/>
                <w:i w:val="0"/>
                <w:sz w:val="18"/>
              </w:rPr>
              <w:t>Admit application, appeal and revised statuses</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planning.zombie_​filter_​enabled</w:t>
            </w:r>
          </w:p>
        </w:tc>
        <w:tc>
          <w:tcPr>
            <w:tcW w:type="dxa" w:w="2696"/>
            <w:vAlign w:val="center"/>
            <w:tcMar>
              <w:top w:w="90" w:type="dxa"/>
              <w:left w:w="90" w:type="dxa"/>
              <w:bottom w:w="90" w:type="dxa"/>
              <w:right w:w="90" w:type="dxa"/>
            </w:tcMar>
          </w:tcPr>
          <w:p>
            <w:pPr>
              <w:spacing w:after="40" w:line="276" w:lineRule="auto"/>
            </w:pPr>
            <w:r>
              <w:rPr>
                <w:rFonts w:ascii="DejaVu Sans Mono" w:hAnsi="DejaVu Sans Mono"/>
                <w:b w:val="0"/>
                <w:i w:val="0"/>
                <w:sz w:val="18"/>
              </w:rPr>
              <w:t>true</w:t>
            </w:r>
          </w:p>
        </w:tc>
        <w:tc>
          <w:tcPr>
            <w:tcW w:type="dxa" w:w="3855"/>
            <w:vAlign w:val="center"/>
            <w:tcMar>
              <w:top w:w="90" w:type="dxa"/>
              <w:left w:w="90" w:type="dxa"/>
              <w:bottom w:w="90" w:type="dxa"/>
              <w:right w:w="90" w:type="dxa"/>
            </w:tcMar>
          </w:tcPr>
          <w:p>
            <w:pPr>
              <w:spacing w:after="40" w:line="276" w:lineRule="auto"/>
            </w:pPr>
            <w:r>
              <w:rPr>
                <w:b w:val="0"/>
                <w:i w:val="0"/>
                <w:sz w:val="18"/>
              </w:rPr>
              <w:t>Apply status, progress and construction-overrun filters</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planning.zombie_​status_​stale_​year</w:t>
            </w:r>
          </w:p>
        </w:tc>
        <w:tc>
          <w:tcPr>
            <w:tcW w:type="dxa" w:w="2696"/>
            <w:vAlign w:val="center"/>
            <w:tcMar>
              <w:top w:w="90" w:type="dxa"/>
              <w:left w:w="90" w:type="dxa"/>
              <w:bottom w:w="90" w:type="dxa"/>
              <w:right w:w="90" w:type="dxa"/>
            </w:tcMar>
          </w:tcPr>
          <w:p>
            <w:pPr>
              <w:spacing w:after="40" w:line="276" w:lineRule="auto"/>
            </w:pPr>
            <w:r>
              <w:rPr>
                <w:b w:val="0"/>
                <w:i w:val="0"/>
                <w:sz w:val="18"/>
              </w:rPr>
              <w:t>2015</w:t>
            </w:r>
          </w:p>
        </w:tc>
        <w:tc>
          <w:tcPr>
            <w:tcW w:type="dxa" w:w="3855"/>
            <w:vAlign w:val="center"/>
            <w:tcMar>
              <w:top w:w="90" w:type="dxa"/>
              <w:left w:w="90" w:type="dxa"/>
              <w:bottom w:w="90" w:type="dxa"/>
              <w:right w:w="90" w:type="dxa"/>
            </w:tcMar>
          </w:tcPr>
          <w:p>
            <w:pPr>
              <w:spacing w:after="40" w:line="276" w:lineRule="auto"/>
            </w:pPr>
            <w:r>
              <w:rPr>
                <w:b w:val="0"/>
                <w:i w:val="0"/>
                <w:sz w:val="18"/>
              </w:rPr>
              <w:t>Latest-progress cutoff for uncertain projects</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planning.construction_​grace_​years</w:t>
            </w:r>
          </w:p>
        </w:tc>
        <w:tc>
          <w:tcPr>
            <w:tcW w:type="dxa" w:w="2696"/>
            <w:vAlign w:val="center"/>
            <w:tcMar>
              <w:top w:w="90" w:type="dxa"/>
              <w:left w:w="90" w:type="dxa"/>
              <w:bottom w:w="90" w:type="dxa"/>
              <w:right w:w="90" w:type="dxa"/>
            </w:tcMar>
          </w:tcPr>
          <w:p>
            <w:pPr>
              <w:spacing w:after="40" w:line="276" w:lineRule="auto"/>
            </w:pPr>
            <w:r>
              <w:rPr>
                <w:b w:val="0"/>
                <w:i w:val="0"/>
                <w:sz w:val="18"/>
              </w:rPr>
              <w:t>2 years</w:t>
            </w:r>
          </w:p>
        </w:tc>
        <w:tc>
          <w:tcPr>
            <w:tcW w:type="dxa" w:w="3855"/>
            <w:vAlign w:val="center"/>
            <w:tcMar>
              <w:top w:w="90" w:type="dxa"/>
              <w:left w:w="90" w:type="dxa"/>
              <w:bottom w:w="90" w:type="dxa"/>
              <w:right w:w="90" w:type="dxa"/>
            </w:tcMar>
          </w:tcPr>
          <w:p>
            <w:pPr>
              <w:spacing w:after="40" w:line="276" w:lineRule="auto"/>
            </w:pPr>
            <w:r>
              <w:rPr>
                <w:b w:val="0"/>
                <w:i w:val="0"/>
                <w:sz w:val="18"/>
              </w:rPr>
              <w:t>Added to the estimated construction completion year</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planning.max_​completion_​year</w:t>
            </w:r>
          </w:p>
        </w:tc>
        <w:tc>
          <w:tcPr>
            <w:tcW w:type="dxa" w:w="2696"/>
            <w:vAlign w:val="center"/>
            <w:tcMar>
              <w:top w:w="90" w:type="dxa"/>
              <w:left w:w="90" w:type="dxa"/>
              <w:bottom w:w="90" w:type="dxa"/>
              <w:right w:w="90" w:type="dxa"/>
            </w:tcMar>
          </w:tcPr>
          <w:p>
            <w:pPr>
              <w:spacing w:after="40" w:line="276" w:lineRule="auto"/>
            </w:pPr>
            <w:r>
              <w:rPr>
                <w:b w:val="0"/>
                <w:i w:val="0"/>
                <w:sz w:val="18"/>
              </w:rPr>
              <w:t>2040</w:t>
            </w:r>
          </w:p>
        </w:tc>
        <w:tc>
          <w:tcPr>
            <w:tcW w:type="dxa" w:w="3855"/>
            <w:vAlign w:val="center"/>
            <w:tcMar>
              <w:top w:w="90" w:type="dxa"/>
              <w:left w:w="90" w:type="dxa"/>
              <w:bottom w:w="90" w:type="dxa"/>
              <w:right w:w="90" w:type="dxa"/>
            </w:tcMar>
          </w:tcPr>
          <w:p>
            <w:pPr>
              <w:spacing w:after="40" w:line="276" w:lineRule="auto"/>
            </w:pPr>
            <w:r>
              <w:rPr>
                <w:b w:val="0"/>
                <w:i w:val="0"/>
                <w:sz w:val="18"/>
              </w:rPr>
              <w:t>Latest admitted completion year</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planning.timeline_​statistic</w:t>
            </w:r>
          </w:p>
        </w:tc>
        <w:tc>
          <w:tcPr>
            <w:tcW w:type="dxa" w:w="2696"/>
            <w:vAlign w:val="center"/>
            <w:tcMar>
              <w:top w:w="90" w:type="dxa"/>
              <w:left w:w="90" w:type="dxa"/>
              <w:bottom w:w="90" w:type="dxa"/>
              <w:right w:w="90" w:type="dxa"/>
            </w:tcMar>
          </w:tcPr>
          <w:p>
            <w:pPr>
              <w:spacing w:after="40" w:line="276" w:lineRule="auto"/>
            </w:pPr>
            <w:r>
              <w:rPr>
                <w:rFonts w:ascii="DejaVu Sans Mono" w:hAnsi="DejaVu Sans Mono"/>
                <w:b w:val="0"/>
                <w:i w:val="0"/>
                <w:sz w:val="18"/>
              </w:rPr>
              <w:t>median</w:t>
            </w:r>
          </w:p>
        </w:tc>
        <w:tc>
          <w:tcPr>
            <w:tcW w:type="dxa" w:w="3855"/>
            <w:vAlign w:val="center"/>
            <w:tcMar>
              <w:top w:w="90" w:type="dxa"/>
              <w:left w:w="90" w:type="dxa"/>
              <w:bottom w:w="90" w:type="dxa"/>
              <w:right w:w="90" w:type="dxa"/>
            </w:tcMar>
          </w:tcPr>
          <w:p>
            <w:pPr>
              <w:spacing w:after="40" w:line="276" w:lineRule="auto"/>
            </w:pPr>
            <w:r>
              <w:rPr>
                <w:b w:val="0"/>
                <w:i w:val="0"/>
                <w:sz w:val="18"/>
              </w:rPr>
              <w:t>Select median or mean stage durations</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planning.defer_​spread_​years</w:t>
            </w:r>
          </w:p>
        </w:tc>
        <w:tc>
          <w:tcPr>
            <w:tcW w:type="dxa" w:w="2696"/>
            <w:vAlign w:val="center"/>
            <w:tcMar>
              <w:top w:w="90" w:type="dxa"/>
              <w:left w:w="90" w:type="dxa"/>
              <w:bottom w:w="90" w:type="dxa"/>
              <w:right w:w="90" w:type="dxa"/>
            </w:tcMar>
          </w:tcPr>
          <w:p>
            <w:pPr>
              <w:spacing w:after="40" w:line="276" w:lineRule="auto"/>
            </w:pPr>
            <w:r>
              <w:rPr>
                <w:b w:val="0"/>
                <w:i w:val="0"/>
                <w:sz w:val="18"/>
              </w:rPr>
              <w:t>3 years</w:t>
            </w:r>
          </w:p>
        </w:tc>
        <w:tc>
          <w:tcPr>
            <w:tcW w:type="dxa" w:w="3855"/>
            <w:vAlign w:val="center"/>
            <w:tcMar>
              <w:top w:w="90" w:type="dxa"/>
              <w:left w:w="90" w:type="dxa"/>
              <w:bottom w:w="90" w:type="dxa"/>
              <w:right w:w="90" w:type="dxa"/>
            </w:tcMar>
          </w:tcPr>
          <w:p>
            <w:pPr>
              <w:spacing w:after="40" w:line="276" w:lineRule="auto"/>
            </w:pPr>
            <w:r>
              <w:rPr>
                <w:b w:val="0"/>
                <w:i w:val="0"/>
                <w:sz w:val="18"/>
              </w:rPr>
              <w:t>Maximum added delay for inferred completion dates</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planning.random_seed</w:t>
            </w:r>
          </w:p>
        </w:tc>
        <w:tc>
          <w:tcPr>
            <w:tcW w:type="dxa" w:w="2696"/>
            <w:vAlign w:val="center"/>
            <w:tcMar>
              <w:top w:w="90" w:type="dxa"/>
              <w:left w:w="90" w:type="dxa"/>
              <w:bottom w:w="90" w:type="dxa"/>
              <w:right w:w="90" w:type="dxa"/>
            </w:tcMar>
          </w:tcPr>
          <w:p>
            <w:pPr>
              <w:spacing w:after="40" w:line="276" w:lineRule="auto"/>
            </w:pPr>
            <w:r>
              <w:rPr>
                <w:b w:val="0"/>
                <w:i w:val="0"/>
                <w:sz w:val="18"/>
              </w:rPr>
              <w:t>0</w:t>
            </w:r>
          </w:p>
        </w:tc>
        <w:tc>
          <w:tcPr>
            <w:tcW w:type="dxa" w:w="3855"/>
            <w:vAlign w:val="center"/>
            <w:tcMar>
              <w:top w:w="90" w:type="dxa"/>
              <w:left w:w="90" w:type="dxa"/>
              <w:bottom w:w="90" w:type="dxa"/>
              <w:right w:w="90" w:type="dxa"/>
            </w:tcMar>
          </w:tcPr>
          <w:p>
            <w:pPr>
              <w:spacing w:after="40" w:line="276" w:lineRule="auto"/>
            </w:pPr>
            <w:r>
              <w:rPr>
                <w:b w:val="0"/>
                <w:i w:val="0"/>
                <w:sz w:val="18"/>
              </w:rPr>
              <w:t>Input to project-specific success draws</w:t>
            </w:r>
          </w:p>
        </w:tc>
      </w:tr>
      <w:tr>
        <w:trPr>
          <w:cantSplit/>
        </w:trPr>
        <w:tc>
          <w:tcPr>
            <w:tcW w:type="dxa" w:w="3241"/>
            <w:vAlign w:val="center"/>
            <w:tcMar>
              <w:top w:w="90" w:type="dxa"/>
              <w:left w:w="90" w:type="dxa"/>
              <w:bottom w:w="90" w:type="dxa"/>
              <w:right w:w="90" w:type="dxa"/>
            </w:tcMar>
          </w:tcPr>
          <w:p>
            <w:pPr>
              <w:spacing w:after="40" w:line="276" w:lineRule="auto"/>
            </w:pPr>
            <w:r>
              <w:rPr>
                <w:rFonts w:ascii="DejaVu Sans Mono" w:hAnsi="DejaVu Sans Mono"/>
                <w:b w:val="0"/>
                <w:i w:val="0"/>
                <w:sz w:val="18"/>
              </w:rPr>
              <w:t>planning.repd_​battery_​assignment</w:t>
            </w:r>
          </w:p>
        </w:tc>
        <w:tc>
          <w:tcPr>
            <w:tcW w:type="dxa" w:w="2696"/>
            <w:vAlign w:val="center"/>
            <w:tcMar>
              <w:top w:w="90" w:type="dxa"/>
              <w:left w:w="90" w:type="dxa"/>
              <w:bottom w:w="90" w:type="dxa"/>
              <w:right w:w="90" w:type="dxa"/>
            </w:tcMar>
          </w:tcPr>
          <w:p>
            <w:pPr>
              <w:spacing w:after="40" w:line="276" w:lineRule="auto"/>
            </w:pPr>
            <w:r>
              <w:rPr>
                <w:rFonts w:ascii="DejaVu Sans Mono" w:hAnsi="DejaVu Sans Mono"/>
                <w:b w:val="0"/>
                <w:i w:val="0"/>
                <w:sz w:val="18"/>
              </w:rPr>
              <w:t>value_​proportional_​split</w:t>
            </w:r>
          </w:p>
        </w:tc>
        <w:tc>
          <w:tcPr>
            <w:tcW w:type="dxa" w:w="3855"/>
            <w:vAlign w:val="center"/>
            <w:tcMar>
              <w:top w:w="90" w:type="dxa"/>
              <w:left w:w="90" w:type="dxa"/>
              <w:bottom w:w="90" w:type="dxa"/>
              <w:right w:w="90" w:type="dxa"/>
            </w:tcMar>
          </w:tcPr>
          <w:p>
            <w:pPr>
              <w:spacing w:after="40" w:line="276" w:lineRule="auto"/>
            </w:pPr>
            <w:r>
              <w:rPr>
                <w:b w:val="0"/>
                <w:i w:val="0"/>
                <w:sz w:val="18"/>
              </w:rPr>
              <w:t>Allocate generic battery capacity among four storage technologies</w:t>
            </w:r>
          </w:p>
        </w:tc>
      </w:tr>
    </w:tbl>
    <w:p>
      <w:pPr>
        <w:spacing w:after="20"/>
      </w:pPr>
    </w:p>
    <w:p>
      <w:r>
        <w:rPr>
          <w:b w:val="0"/>
          <w:i w:val="0"/>
        </w:rPr>
        <w:t xml:space="preserve">A replacement application supersedes its older project record. The preprocessing reads </w:t>
      </w:r>
      <w:r>
        <w:rPr>
          <w:rFonts w:ascii="DejaVu Sans Mono" w:hAnsi="DejaVu Sans Mono"/>
          <w:b w:val="0"/>
          <w:i w:val="0"/>
          <w:sz w:val="17"/>
        </w:rPr>
        <w:t>Ref ID</w:t>
      </w:r>
      <w:r>
        <w:rPr>
          <w:b w:val="0"/>
          <w:i w:val="0"/>
        </w:rPr>
        <w:t xml:space="preserve"> and </w:t>
      </w:r>
      <w:r>
        <w:rPr>
          <w:rFonts w:ascii="DejaVu Sans Mono" w:hAnsi="DejaVu Sans Mono"/>
          <w:b w:val="0"/>
          <w:i w:val="0"/>
          <w:sz w:val="17"/>
        </w:rPr>
        <w:t>Are they re-applying (New REPD Ref)</w:t>
      </w:r>
      <w:r>
        <w:rPr>
          <w:b w:val="0"/>
          <w:i w:val="0"/>
        </w:rPr>
        <w:t xml:space="preserve"> in the raw REPD table and excludes the old record when the replacement is a different, non-empty identifier present in that table. It also excludes capacity below </w:t>
      </w:r>
      <w:r>
        <w:rPr>
          <w:rFonts w:ascii="DejaVu Sans Mono" w:hAnsi="DejaVu Sans Mono"/>
          <w:b w:val="0"/>
          <w:i w:val="0"/>
          <w:sz w:val="17"/>
        </w:rPr>
        <w:t>minimum_size</w:t>
      </w:r>
      <w:r>
        <w:rPr>
          <w:b w:val="0"/>
          <w:i w:val="0"/>
        </w:rPr>
        <w:t xml:space="preserve"> and non-positive or unparseable capacity.</w:t>
      </w:r>
    </w:p>
    <w:p>
      <w:r>
        <w:rPr>
          <w:b w:val="0"/>
          <w:i w:val="0"/>
        </w:rPr>
        <w:t xml:space="preserve">Development-status filtering acts on stripped, lower-case labels. </w:t>
      </w:r>
      <w:r>
        <w:rPr>
          <w:rFonts w:ascii="DejaVu Sans Mono" w:hAnsi="DejaVu Sans Mono"/>
          <w:b w:val="0"/>
          <w:i w:val="0"/>
          <w:sz w:val="17"/>
        </w:rPr>
        <w:t>terminal_statuses</w:t>
      </w:r>
      <w:r>
        <w:rPr>
          <w:b w:val="0"/>
          <w:i w:val="0"/>
        </w:rPr>
        <w:t xml:space="preserve"> always excludes </w:t>
      </w:r>
      <w:r>
        <w:rPr>
          <w:rFonts w:ascii="DejaVu Sans Mono" w:hAnsi="DejaVu Sans Mono"/>
          <w:b w:val="0"/>
          <w:i w:val="0"/>
          <w:sz w:val="17"/>
        </w:rPr>
        <w:t>operational</w:t>
      </w:r>
      <w:r>
        <w:rPr>
          <w:b w:val="0"/>
          <w:i w:val="0"/>
        </w:rPr>
        <w:t xml:space="preserve">, </w:t>
      </w:r>
      <w:r>
        <w:rPr>
          <w:rFonts w:ascii="DejaVu Sans Mono" w:hAnsi="DejaVu Sans Mono"/>
          <w:b w:val="0"/>
          <w:i w:val="0"/>
          <w:sz w:val="17"/>
        </w:rPr>
        <w:t>abandoned</w:t>
      </w:r>
      <w:r>
        <w:rPr>
          <w:b w:val="0"/>
          <w:i w:val="0"/>
        </w:rPr>
        <w:t xml:space="preserve">, </w:t>
      </w:r>
      <w:r>
        <w:rPr>
          <w:rFonts w:ascii="DejaVu Sans Mono" w:hAnsi="DejaVu Sans Mono"/>
          <w:b w:val="0"/>
          <w:i w:val="0"/>
          <w:sz w:val="17"/>
        </w:rPr>
        <w:t>planning permission refused</w:t>
      </w:r>
      <w:r>
        <w:rPr>
          <w:b w:val="0"/>
          <w:i w:val="0"/>
        </w:rPr>
        <w:t xml:space="preserve"> and </w:t>
      </w:r>
      <w:r>
        <w:rPr>
          <w:rFonts w:ascii="DejaVu Sans Mono" w:hAnsi="DejaVu Sans Mono"/>
          <w:b w:val="0"/>
          <w:i w:val="0"/>
          <w:sz w:val="17"/>
        </w:rPr>
        <w:t>application withdrawn</w:t>
      </w:r>
      <w:r>
        <w:rPr>
          <w:b w:val="0"/>
          <w:i w:val="0"/>
        </w:rPr>
        <w:t xml:space="preserve">. With </w:t>
      </w:r>
      <w:r>
        <w:rPr>
          <w:rFonts w:ascii="DejaVu Sans Mono" w:hAnsi="DejaVu Sans Mono"/>
          <w:b w:val="0"/>
          <w:i w:val="0"/>
          <w:sz w:val="17"/>
        </w:rPr>
        <w:t>zombie_filter=true</w:t>
      </w:r>
      <w:r>
        <w:rPr>
          <w:b w:val="0"/>
          <w:i w:val="0"/>
        </w:rPr>
        <w:t xml:space="preserve">, the additional excluded labels are </w:t>
      </w:r>
      <w:r>
        <w:rPr>
          <w:rFonts w:ascii="DejaVu Sans Mono" w:hAnsi="DejaVu Sans Mono"/>
          <w:b w:val="0"/>
          <w:i w:val="0"/>
          <w:sz w:val="17"/>
        </w:rPr>
        <w:t>application refused</w:t>
      </w:r>
      <w:r>
        <w:rPr>
          <w:b w:val="0"/>
          <w:i w:val="0"/>
        </w:rPr>
        <w:t xml:space="preserve">, </w:t>
      </w:r>
      <w:r>
        <w:rPr>
          <w:rFonts w:ascii="DejaVu Sans Mono" w:hAnsi="DejaVu Sans Mono"/>
          <w:b w:val="0"/>
          <w:i w:val="0"/>
          <w:sz w:val="17"/>
        </w:rPr>
        <w:t>appeal refused</w:t>
      </w:r>
      <w:r>
        <w:rPr>
          <w:b w:val="0"/>
          <w:i w:val="0"/>
        </w:rPr>
        <w:t xml:space="preserve">, </w:t>
      </w:r>
      <w:r>
        <w:rPr>
          <w:rFonts w:ascii="DejaVu Sans Mono" w:hAnsi="DejaVu Sans Mono"/>
          <w:b w:val="0"/>
          <w:i w:val="0"/>
          <w:sz w:val="17"/>
        </w:rPr>
        <w:t>appeal withdrawn</w:t>
      </w:r>
      <w:r>
        <w:rPr>
          <w:b w:val="0"/>
          <w:i w:val="0"/>
        </w:rPr>
        <w:t xml:space="preserve">, </w:t>
      </w:r>
      <w:r>
        <w:rPr>
          <w:rFonts w:ascii="DejaVu Sans Mono" w:hAnsi="DejaVu Sans Mono"/>
          <w:b w:val="0"/>
          <w:i w:val="0"/>
          <w:sz w:val="17"/>
        </w:rPr>
        <w:t>decommissioned</w:t>
      </w:r>
      <w:r>
        <w:rPr>
          <w:b w:val="0"/>
          <w:i w:val="0"/>
        </w:rPr>
        <w:t xml:space="preserve">, </w:t>
      </w:r>
      <w:r>
        <w:rPr>
          <w:rFonts w:ascii="DejaVu Sans Mono" w:hAnsi="DejaVu Sans Mono"/>
          <w:b w:val="0"/>
          <w:i w:val="0"/>
          <w:sz w:val="17"/>
        </w:rPr>
        <w:t>application expired</w:t>
      </w:r>
      <w:r>
        <w:rPr>
          <w:b w:val="0"/>
          <w:i w:val="0"/>
        </w:rPr>
        <w:t xml:space="preserve"> and </w:t>
      </w:r>
      <w:r>
        <w:rPr>
          <w:rFonts w:ascii="DejaVu Sans Mono" w:hAnsi="DejaVu Sans Mono"/>
          <w:b w:val="0"/>
          <w:i w:val="0"/>
          <w:sz w:val="17"/>
        </w:rPr>
        <w:t>finished</w:t>
      </w:r>
      <w:r>
        <w:rPr>
          <w:b w:val="0"/>
          <w:i w:val="0"/>
        </w:rPr>
        <w:t xml:space="preserve">. Setting </w:t>
      </w:r>
      <w:r>
        <w:rPr>
          <w:rFonts w:ascii="DejaVu Sans Mono" w:hAnsi="DejaVu Sans Mono"/>
          <w:b w:val="0"/>
          <w:i w:val="0"/>
          <w:sz w:val="17"/>
        </w:rPr>
        <w:t>include_uncertain=false</w:t>
      </w:r>
      <w:r>
        <w:rPr>
          <w:b w:val="0"/>
          <w:i w:val="0"/>
        </w:rPr>
        <w:t xml:space="preserve"> retains only </w:t>
      </w:r>
      <w:r>
        <w:rPr>
          <w:rFonts w:ascii="DejaVu Sans Mono" w:hAnsi="DejaVu Sans Mono"/>
          <w:b w:val="0"/>
          <w:i w:val="0"/>
          <w:sz w:val="17"/>
        </w:rPr>
        <w:t>under construction</w:t>
      </w:r>
      <w:r>
        <w:rPr>
          <w:b w:val="0"/>
          <w:i w:val="0"/>
        </w:rPr>
        <w:t xml:space="preserve">, </w:t>
      </w:r>
      <w:r>
        <w:rPr>
          <w:rFonts w:ascii="DejaVu Sans Mono" w:hAnsi="DejaVu Sans Mono"/>
          <w:b w:val="0"/>
          <w:i w:val="0"/>
          <w:sz w:val="17"/>
        </w:rPr>
        <w:t>awaiting construction</w:t>
      </w:r>
      <w:r>
        <w:rPr>
          <w:b w:val="0"/>
          <w:i w:val="0"/>
        </w:rPr>
        <w:t xml:space="preserve"> and </w:t>
      </w:r>
      <w:r>
        <w:rPr>
          <w:rFonts w:ascii="DejaVu Sans Mono" w:hAnsi="DejaVu Sans Mono"/>
          <w:b w:val="0"/>
          <w:i w:val="0"/>
          <w:sz w:val="17"/>
        </w:rPr>
        <w:t>planning permission granted</w:t>
      </w:r>
      <w:r>
        <w:rPr>
          <w:b w:val="0"/>
          <w:i w:val="0"/>
        </w:rPr>
        <w:t>.</w:t>
      </w:r>
    </w:p>
    <w:p>
      <w:r>
        <w:rPr>
          <w:b w:val="0"/>
          <w:i w:val="0"/>
        </w:rPr>
        <w:t xml:space="preserve">The recorded progress cutoff applies to </w:t>
      </w:r>
      <w:r>
        <w:rPr>
          <w:rFonts w:ascii="DejaVu Sans Mono" w:hAnsi="DejaVu Sans Mono"/>
          <w:b w:val="0"/>
          <w:i w:val="0"/>
          <w:sz w:val="17"/>
        </w:rPr>
        <w:t>application submitted</w:t>
      </w:r>
      <w:r>
        <w:rPr>
          <w:b w:val="0"/>
          <w:i w:val="0"/>
        </w:rPr>
        <w:t xml:space="preserve">, </w:t>
      </w:r>
      <w:r>
        <w:rPr>
          <w:rFonts w:ascii="DejaVu Sans Mono" w:hAnsi="DejaVu Sans Mono"/>
          <w:b w:val="0"/>
          <w:i w:val="0"/>
          <w:sz w:val="17"/>
        </w:rPr>
        <w:t>appeal lodged</w:t>
      </w:r>
      <w:r>
        <w:rPr>
          <w:b w:val="0"/>
          <w:i w:val="0"/>
        </w:rPr>
        <w:t xml:space="preserve"> and </w:t>
      </w:r>
      <w:r>
        <w:rPr>
          <w:rFonts w:ascii="DejaVu Sans Mono" w:hAnsi="DejaVu Sans Mono"/>
          <w:b w:val="0"/>
          <w:i w:val="0"/>
          <w:sz w:val="17"/>
        </w:rPr>
        <w:t>revised</w:t>
      </w:r>
      <w:r>
        <w:rPr>
          <w:b w:val="0"/>
          <w:i w:val="0"/>
        </w:rPr>
        <w:t xml:space="preserve">. </w:t>
      </w:r>
      <w:r>
        <w:rPr>
          <w:rFonts w:ascii="DejaVu Sans Mono" w:hAnsi="DejaVu Sans Mono"/>
          <w:b w:val="0"/>
          <w:i w:val="0"/>
          <w:sz w:val="17"/>
        </w:rPr>
        <w:t>_date_year</w:t>
      </w:r>
      <w:r>
        <w:rPr>
          <w:b w:val="0"/>
          <w:i w:val="0"/>
        </w:rPr>
        <w:t xml:space="preserve"> extracts the first four-digit year beginning with 19 or 20 from each date string; a missing year yields </w:t>
      </w:r>
      <w:r>
        <w:rPr>
          <w:rFonts w:ascii="DejaVu Sans Mono" w:hAnsi="DejaVu Sans Mono"/>
          <w:b w:val="0"/>
          <w:i w:val="0"/>
          <w:sz w:val="17"/>
        </w:rPr>
        <w:t>None</w:t>
      </w:r>
      <w:r>
        <w:rPr>
          <w:b w:val="0"/>
          <w:i w:val="0"/>
        </w:rPr>
        <w:t xml:space="preserve">. </w:t>
      </w:r>
      <w:r>
        <w:rPr>
          <w:rFonts w:ascii="DejaVu Sans Mono" w:hAnsi="DejaVu Sans Mono"/>
          <w:b w:val="0"/>
          <w:i w:val="0"/>
          <w:sz w:val="17"/>
        </w:rPr>
        <w:t>latest_progress_year</w:t>
      </w:r>
      <w:r>
        <w:rPr>
          <w:b w:val="0"/>
          <w:i w:val="0"/>
        </w:rPr>
        <w:t xml:space="preserve"> takes the latest known year across </w:t>
      </w:r>
      <w:r>
        <w:rPr>
          <w:rFonts w:ascii="DejaVu Sans Mono" w:hAnsi="DejaVu Sans Mono"/>
          <w:b w:val="0"/>
          <w:i w:val="0"/>
          <w:sz w:val="17"/>
        </w:rPr>
        <w:t>planning_​application_​submitted</w:t>
      </w:r>
      <w:r>
        <w:rPr>
          <w:b w:val="0"/>
          <w:i w:val="0"/>
        </w:rPr>
        <w:t xml:space="preserve">, </w:t>
      </w:r>
      <w:r>
        <w:rPr>
          <w:rFonts w:ascii="DejaVu Sans Mono" w:hAnsi="DejaVu Sans Mono"/>
          <w:b w:val="0"/>
          <w:i w:val="0"/>
          <w:sz w:val="17"/>
        </w:rPr>
        <w:t>planning_​permission_​granted</w:t>
      </w:r>
      <w:r>
        <w:rPr>
          <w:b w:val="0"/>
          <w:i w:val="0"/>
        </w:rPr>
        <w:t xml:space="preserve">, </w:t>
      </w:r>
      <w:r>
        <w:rPr>
          <w:rFonts w:ascii="DejaVu Sans Mono" w:hAnsi="DejaVu Sans Mono"/>
          <w:b w:val="0"/>
          <w:i w:val="0"/>
          <w:sz w:val="17"/>
        </w:rPr>
        <w:t>under_construction</w:t>
      </w:r>
      <w:r>
        <w:rPr>
          <w:b w:val="0"/>
          <w:i w:val="0"/>
        </w:rPr>
        <w:t xml:space="preserve"> and </w:t>
      </w:r>
      <w:r>
        <w:rPr>
          <w:rFonts w:ascii="DejaVu Sans Mono" w:hAnsi="DejaVu Sans Mono"/>
          <w:b w:val="0"/>
          <w:i w:val="0"/>
          <w:sz w:val="17"/>
        </w:rPr>
        <w:t>operational</w:t>
      </w:r>
      <w:r>
        <w:rPr>
          <w:b w:val="0"/>
          <w:i w:val="0"/>
        </w:rPr>
        <w:t xml:space="preserve">. With the progress filter enabled, an uncertain project is excluded when this year is at or before </w:t>
      </w:r>
      <w:r>
        <w:rPr>
          <w:rFonts w:ascii="DejaVu Sans Mono" w:hAnsi="DejaVu Sans Mono"/>
          <w:b w:val="0"/>
          <w:i w:val="0"/>
          <w:sz w:val="17"/>
        </w:rPr>
        <w:t>zombie_stale_year</w:t>
      </w:r>
      <w:r>
        <w:rPr>
          <w:b w:val="0"/>
          <w:i w:val="0"/>
        </w:rPr>
        <w:t>; a missing progress year passes this particular filter.</w:t>
      </w:r>
    </w:p>
    <w:p>
      <w:r>
        <w:rPr>
          <w:b w:val="0"/>
          <w:i w:val="0"/>
        </w:rPr>
        <w:t xml:space="preserve">The completion year first uses a recorded future year and otherwise uses the remaining stage duration. </w:t>
      </w:r>
      <w:r>
        <w:rPr>
          <w:rFonts w:ascii="DejaVu Sans Mono" w:hAnsi="DejaVu Sans Mono"/>
          <w:b w:val="0"/>
          <w:i w:val="0"/>
          <w:sz w:val="17"/>
        </w:rPr>
        <w:t>timeline_​months(source_​technology, status)</w:t>
      </w:r>
      <w:r>
        <w:rPr>
          <w:b w:val="0"/>
          <w:i w:val="0"/>
        </w:rPr>
        <w:t xml:space="preserve"> selects </w:t>
      </w:r>
      <w:r>
        <w:rPr>
          <w:rFonts w:ascii="DejaVu Sans Mono" w:hAnsi="DejaVu Sans Mono"/>
          <w:b w:val="0"/>
          <w:i w:val="0"/>
          <w:sz w:val="17"/>
        </w:rPr>
        <w:t>timeline_type</w:t>
      </w:r>
      <w:r>
        <w:rPr>
          <w:b w:val="0"/>
          <w:i w:val="0"/>
        </w:rPr>
        <w:t xml:space="preserve"> from </w:t>
      </w:r>
      <w:r>
        <w:rPr>
          <w:rFonts w:ascii="DejaVu Sans Mono" w:hAnsi="DejaVu Sans Mono"/>
          <w:b w:val="0"/>
          <w:i w:val="0"/>
          <w:sz w:val="17"/>
        </w:rPr>
        <w:t>repd_status_to_timeline</w:t>
      </w:r>
      <w:r>
        <w:rPr>
          <w:b w:val="0"/>
          <w:i w:val="0"/>
        </w:rPr>
        <w:t xml:space="preserve">, replaces its mean or median suffix with </w:t>
      </w:r>
      <w:r>
        <w:rPr>
          <w:rFonts w:ascii="DejaVu Sans Mono" w:hAnsi="DejaVu Sans Mono"/>
          <w:b w:val="0"/>
          <w:i w:val="0"/>
          <w:sz w:val="17"/>
        </w:rPr>
        <w:t>timeline_statistic</w:t>
      </w:r>
      <w:r>
        <w:rPr>
          <w:b w:val="0"/>
          <w:i w:val="0"/>
        </w:rPr>
        <w:t xml:space="preserve">, and reads the selected technology entry in </w:t>
      </w:r>
      <w:r>
        <w:rPr>
          <w:rFonts w:ascii="DejaVu Sans Mono" w:hAnsi="DejaVu Sans Mono"/>
          <w:b w:val="0"/>
          <w:i w:val="0"/>
          <w:sz w:val="17"/>
        </w:rPr>
        <w:t>development_​stage_​timelines</w:t>
      </w:r>
      <w:r>
        <w:rPr>
          <w:b w:val="0"/>
          <w:i w:val="0"/>
        </w:rPr>
        <w:t xml:space="preserve">. A missing status mapping selects </w:t>
      </w:r>
      <w:r>
        <w:rPr>
          <w:rFonts w:ascii="DejaVu Sans Mono" w:hAnsi="DejaVu Sans Mono"/>
          <w:b w:val="0"/>
          <w:i w:val="0"/>
          <w:sz w:val="17"/>
        </w:rPr>
        <w:t>total_median</w:t>
      </w:r>
      <w:r>
        <w:rPr>
          <w:b w:val="0"/>
          <w:i w:val="0"/>
        </w:rPr>
        <w:t xml:space="preserve"> by default; a missing stage entry uses </w:t>
      </w:r>
      <w:r>
        <w:rPr>
          <w:rFonts w:ascii="DejaVu Sans Mono" w:hAnsi="DejaVu Sans Mono"/>
          <w:b w:val="0"/>
          <w:i w:val="0"/>
          <w:sz w:val="17"/>
        </w:rPr>
        <w:t>development_timelines</w:t>
      </w:r>
      <w:r>
        <w:rPr>
          <w:b w:val="0"/>
          <w:i w:val="0"/>
        </w:rPr>
        <w:t>, with a final fallback of 12 months. Storage components use the battery duration table.</w:t>
      </w:r>
    </w:p>
    <w:p>
      <w:r>
        <w:rPr>
          <w:b w:val="0"/>
          <w:i w:val="0"/>
        </w:rPr>
        <w:t xml:space="preserve">The inferred completion date adds a deterministic delay of zero to </w:t>
      </w:r>
      <w:r>
        <w:rPr>
          <w:rFonts w:ascii="DejaVu Sans Mono" w:hAnsi="DejaVu Sans Mono"/>
          <w:b w:val="0"/>
          <w:i w:val="0"/>
          <w:sz w:val="17"/>
        </w:rPr>
        <w:t>defer_spread_years</w:t>
      </w:r>
      <w:r>
        <w:rPr>
          <w:b w:val="0"/>
          <w:i w:val="0"/>
        </w:rPr>
        <w:t xml:space="preserve"> whole years. The following sequence uses the source </w:t>
      </w:r>
      <w:r>
        <w:rPr>
          <w:rFonts w:ascii="DejaVu Sans Mono" w:hAnsi="DejaVu Sans Mono"/>
          <w:b w:val="0"/>
          <w:i w:val="0"/>
          <w:sz w:val="17"/>
        </w:rPr>
        <w:t>project_id</w:t>
      </w:r>
      <w:r>
        <w:rPr>
          <w:b w:val="0"/>
          <w:i w:val="0"/>
        </w:rPr>
        <w:t xml:space="preserve"> to calculate that delay; an existing future date bypasses the duration and delay calculations.</w:t>
      </w:r>
    </w:p>
    <w:p>
      <w:pPr>
        <w:keepLines/>
        <w:spacing w:line="276" w:lineRule="auto" w:after="160"/>
      </w:pPr>
      <w:r>
        <w:rPr>
          <w:rFonts w:ascii="DejaVu Sans Mono" w:hAnsi="DejaVu Sans Mono"/>
          <w:b w:val="0"/>
          <w:i w:val="0"/>
          <w:sz w:val="17"/>
        </w:rPr>
        <w:t>completion = next((candidate for candidate in (</w:t>
        <w:br/>
        <w:t xml:space="preserve">    _​date_​year(row.get("operational")),</w:t>
        <w:br/>
        <w:t xml:space="preserve">    _​date_​year(row.get("under_construction")),</w:t>
        <w:br/>
        <w:t>) if candidate is not None and candidate &gt; year), None)</w:t>
        <w:br/>
        <w:t>if completion is None:</w:t>
        <w:br/>
        <w:t xml:space="preserve">    months = timeline_​months(source_​technology, status)</w:t>
        <w:br/>
        <w:t xml:space="preserve">    completion = year + max(1, int(math.ceil(months / 12.0)))</w:t>
        <w:br/>
        <w:t xml:space="preserve">    if defer_spread_years &gt; 0:</w:t>
        <w:br/>
        <w:t xml:space="preserve">        completion += int(</w:t>
        <w:br/>
        <w:t xml:space="preserve">            hashlib.sha256(project_​id.encode("utf-8")).hexdigest()[:8], 16</w:t>
        <w:br/>
        <w:t xml:space="preserve">        ) % (defer_spread_years + 1)</w:t>
        <w:br/>
      </w:r>
    </w:p>
    <w:p>
      <w:r>
        <w:rPr>
          <w:b w:val="0"/>
          <w:i w:val="0"/>
        </w:rPr>
        <w:t xml:space="preserve">Construction status receives a separate elapsed-time check. For </w:t>
      </w:r>
      <w:r>
        <w:rPr>
          <w:rFonts w:ascii="DejaVu Sans Mono" w:hAnsi="DejaVu Sans Mono"/>
          <w:b w:val="0"/>
          <w:i w:val="0"/>
          <w:sz w:val="17"/>
        </w:rPr>
        <w:t>under construction</w:t>
      </w:r>
      <w:r>
        <w:rPr>
          <w:b w:val="0"/>
          <w:i w:val="0"/>
        </w:rPr>
        <w:t xml:space="preserve"> with a known </w:t>
      </w:r>
      <w:r>
        <w:rPr>
          <w:rFonts w:ascii="DejaVu Sans Mono" w:hAnsi="DejaVu Sans Mono"/>
          <w:b w:val="0"/>
          <w:i w:val="0"/>
          <w:sz w:val="17"/>
        </w:rPr>
        <w:t>construction_year</w:t>
      </w:r>
      <w:r>
        <w:rPr>
          <w:b w:val="0"/>
          <w:i w:val="0"/>
        </w:rPr>
        <w:t xml:space="preserve">, preprocessing forms </w:t>
      </w:r>
      <w:r>
        <w:rPr>
          <w:rFonts w:ascii="DejaVu Sans Mono" w:hAnsi="DejaVu Sans Mono"/>
          <w:b w:val="0"/>
          <w:i w:val="0"/>
          <w:sz w:val="17"/>
        </w:rPr>
        <w:t>construction_end = construction_year + max(1, math.ceil(timeline_​months(source_​technology, status) / 12)) + construction_grace</w:t>
      </w:r>
      <w:r>
        <w:rPr>
          <w:b w:val="0"/>
          <w:i w:val="0"/>
        </w:rPr>
        <w:t xml:space="preserve">. With </w:t>
      </w:r>
      <w:r>
        <w:rPr>
          <w:rFonts w:ascii="DejaVu Sans Mono" w:hAnsi="DejaVu Sans Mono"/>
          <w:b w:val="0"/>
          <w:i w:val="0"/>
          <w:sz w:val="17"/>
        </w:rPr>
        <w:t>zombie_filter=true</w:t>
      </w:r>
      <w:r>
        <w:rPr>
          <w:b w:val="0"/>
          <w:i w:val="0"/>
        </w:rPr>
        <w:t xml:space="preserve">, a value earlier than </w:t>
      </w:r>
      <w:r>
        <w:rPr>
          <w:rFonts w:ascii="DejaVu Sans Mono" w:hAnsi="DejaVu Sans Mono"/>
          <w:b w:val="0"/>
          <w:i w:val="0"/>
          <w:sz w:val="17"/>
        </w:rPr>
        <w:t>year</w:t>
      </w:r>
      <w:r>
        <w:rPr>
          <w:b w:val="0"/>
          <w:i w:val="0"/>
        </w:rPr>
        <w:t xml:space="preserve"> excludes the project. A </w:t>
      </w:r>
      <w:r>
        <w:rPr>
          <w:rFonts w:ascii="DejaVu Sans Mono" w:hAnsi="DejaVu Sans Mono"/>
          <w:b w:val="0"/>
          <w:i w:val="0"/>
          <w:sz w:val="17"/>
        </w:rPr>
        <w:t>completion</w:t>
      </w:r>
      <w:r>
        <w:rPr>
          <w:b w:val="0"/>
          <w:i w:val="0"/>
        </w:rPr>
        <w:t xml:space="preserve"> later than </w:t>
      </w:r>
      <w:r>
        <w:rPr>
          <w:rFonts w:ascii="DejaVu Sans Mono" w:hAnsi="DejaVu Sans Mono"/>
          <w:b w:val="0"/>
          <w:i w:val="0"/>
          <w:sz w:val="17"/>
        </w:rPr>
        <w:t>maximum_completion</w:t>
      </w:r>
      <w:r>
        <w:rPr>
          <w:b w:val="0"/>
          <w:i w:val="0"/>
        </w:rPr>
        <w:t xml:space="preserve"> also excludes the project.</w:t>
      </w:r>
    </w:p>
    <w:p>
      <w:r>
        <w:rPr>
          <w:b w:val="0"/>
          <w:i w:val="0"/>
        </w:rPr>
        <w:t xml:space="preserve">Initial project success uses a technology–region lookup. </w:t>
      </w:r>
      <w:r>
        <w:rPr>
          <w:rFonts w:ascii="DejaVu Sans Mono" w:hAnsi="DejaVu Sans Mono"/>
          <w:b w:val="0"/>
          <w:i w:val="0"/>
          <w:sz w:val="17"/>
        </w:rPr>
        <w:t>_planning_probability</w:t>
      </w:r>
      <w:r>
        <w:rPr>
          <w:b w:val="0"/>
          <w:i w:val="0"/>
        </w:rPr>
        <w:t xml:space="preserve"> reads </w:t>
      </w:r>
      <w:r>
        <w:rPr>
          <w:rFonts w:ascii="DejaVu Sans Mono" w:hAnsi="DejaVu Sans Mono"/>
          <w:b w:val="0"/>
          <w:i w:val="0"/>
          <w:sz w:val="17"/>
        </w:rPr>
        <w:t>technology</w:t>
      </w:r>
      <w:r>
        <w:rPr>
          <w:b w:val="0"/>
          <w:i w:val="0"/>
        </w:rPr>
        <w:t xml:space="preserve">, </w:t>
      </w:r>
      <w:r>
        <w:rPr>
          <w:rFonts w:ascii="DejaVu Sans Mono" w:hAnsi="DejaVu Sans Mono"/>
          <w:b w:val="0"/>
          <w:i w:val="0"/>
          <w:sz w:val="17"/>
        </w:rPr>
        <w:t>region</w:t>
      </w:r>
      <w:r>
        <w:rPr>
          <w:b w:val="0"/>
          <w:i w:val="0"/>
        </w:rPr>
        <w:t xml:space="preserve"> and </w:t>
      </w:r>
      <w:r>
        <w:rPr>
          <w:rFonts w:ascii="DejaVu Sans Mono" w:hAnsi="DejaVu Sans Mono"/>
          <w:b w:val="0"/>
          <w:i w:val="0"/>
          <w:sz w:val="17"/>
        </w:rPr>
        <w:t>success_rate</w:t>
      </w:r>
      <w:r>
        <w:rPr>
          <w:b w:val="0"/>
          <w:i w:val="0"/>
        </w:rPr>
        <w:t xml:space="preserve">, clamps each readable rate to [0,1] and skips unreadable rates. A missing required column yields an empty rate table. The lookup first uses the project's lower-case region, then the technology's </w:t>
      </w:r>
      <w:r>
        <w:rPr>
          <w:rFonts w:ascii="DejaVu Sans Mono" w:hAnsi="DejaVu Sans Mono"/>
          <w:b w:val="0"/>
          <w:i w:val="0"/>
          <w:sz w:val="17"/>
        </w:rPr>
        <w:t>gb</w:t>
      </w:r>
      <w:r>
        <w:rPr>
          <w:b w:val="0"/>
          <w:i w:val="0"/>
        </w:rPr>
        <w:t xml:space="preserve"> entry, then 1.0. The calculation below gives </w:t>
      </w:r>
      <w:r>
        <w:rPr>
          <w:rFonts w:ascii="DejaVu Sans Mono" w:hAnsi="DejaVu Sans Mono"/>
          <w:b w:val="0"/>
          <w:i w:val="0"/>
          <w:sz w:val="17"/>
        </w:rPr>
        <w:t>probability</w:t>
      </w:r>
      <w:r>
        <w:rPr>
          <w:b w:val="0"/>
          <w:i w:val="0"/>
        </w:rPr>
        <w:t xml:space="preserve">, the dimensionless draw </w:t>
      </w:r>
      <w:r>
        <w:rPr>
          <w:rFonts w:ascii="DejaVu Sans Mono" w:hAnsi="DejaVu Sans Mono"/>
          <w:b w:val="0"/>
          <w:i w:val="0"/>
          <w:sz w:val="17"/>
        </w:rPr>
        <w:t>draw</w:t>
      </w:r>
      <w:r>
        <w:rPr>
          <w:b w:val="0"/>
          <w:i w:val="0"/>
        </w:rPr>
        <w:t>, and the admitted capacity; all components of one physical battery project share its draw.</w:t>
      </w:r>
    </w:p>
    <w:p>
      <w:pPr>
        <w:keepLines/>
        <w:spacing w:line="276" w:lineRule="auto" w:after="160"/>
      </w:pPr>
      <w:r>
        <w:rPr>
          <w:rFonts w:ascii="DejaVu Sans Mono" w:hAnsi="DejaVu Sans Mono"/>
          <w:b w:val="0"/>
          <w:i w:val="0"/>
          <w:sz w:val="17"/>
        </w:rPr>
        <w:t>probability_key = "battery" if source_technology == "battery" else _​technology(source_​technology)</w:t>
        <w:br/>
        <w:t>probability = success_rates.get(</w:t>
        <w:br/>
        <w:t xml:space="preserve">    (probability_key, region.strip().lower()),</w:t>
        <w:br/>
        <w:t xml:space="preserve">    success_​rates.get((probability_​key, "gb"), 1.0),</w:t>
        <w:br/>
        <w:t>)</w:t>
        <w:br/>
        <w:t>draw = int(</w:t>
        <w:br/>
        <w:t xml:space="preserve">    hashlib.sha256(f"{random_seed}:{project_id}".encode("utf-8")).hexdigest()[:13], 16</w:t>
        <w:br/>
        <w:t>) / float(16 ** 13 - 1)</w:t>
        <w:br/>
        <w:t>realised_failure = success_mode == "seeded_stochastic" and draw &gt; probability</w:t>
        <w:br/>
        <w:t>components = typed_​project_​components(project_​id, source_technology, capacity)</w:t>
        <w:br/>
        <w:t>for component_id, technology, declared_​component_​capacity, assignment_method in components:</w:t>
        <w:br/>
        <w:t xml:space="preserve">    effective_capacity = (</w:t>
        <w:br/>
        <w:t xml:space="preserve">        declared_​component_​capacity * probability</w:t>
        <w:br/>
        <w:t xml:space="preserve">        if success_mode == "expected_capacity" else declared_​component_​capacity</w:t>
        <w:br/>
        <w:t xml:space="preserve">    )</w:t>
        <w:br/>
      </w:r>
    </w:p>
    <w:p>
      <w:r>
        <w:rPr>
          <w:b w:val="0"/>
          <w:i w:val="0"/>
        </w:rPr>
        <w:t xml:space="preserve">Generic battery projects are split before their success-adjusted capacities are recorded. </w:t>
      </w:r>
      <w:r>
        <w:rPr>
          <w:rFonts w:ascii="DejaVu Sans Mono" w:hAnsi="DejaVu Sans Mono"/>
          <w:b w:val="0"/>
          <w:i w:val="0"/>
          <w:sz w:val="17"/>
        </w:rPr>
        <w:t>typed_​project_​components</w:t>
      </w:r>
      <w:r>
        <w:rPr>
          <w:b w:val="0"/>
          <w:i w:val="0"/>
        </w:rPr>
        <w:t xml:space="preserve"> uses </w:t>
      </w:r>
      <w:r>
        <w:rPr>
          <w:rFonts w:ascii="DejaVu Sans Mono" w:hAnsi="DejaVu Sans Mono"/>
          <w:b w:val="0"/>
          <w:i w:val="0"/>
          <w:sz w:val="17"/>
        </w:rPr>
        <w:t>scheme_​c_​storage_​weights</w:t>
      </w:r>
      <w:r>
        <w:rPr>
          <w:b w:val="0"/>
          <w:i w:val="0"/>
        </w:rPr>
        <w:t xml:space="preserve">, formed from the same positive fleet weights used for initial battery stock, to allocate source MW among </w:t>
      </w:r>
      <w:r>
        <w:rPr>
          <w:rFonts w:ascii="DejaVu Sans Mono" w:hAnsi="DejaVu Sans Mono"/>
          <w:b w:val="0"/>
          <w:i w:val="0"/>
          <w:sz w:val="17"/>
        </w:rPr>
        <w:t>1c_battery</w:t>
      </w:r>
      <w:r>
        <w:rPr>
          <w:b w:val="0"/>
          <w:i w:val="0"/>
        </w:rPr>
        <w:t xml:space="preserve">, </w:t>
      </w:r>
      <w:r>
        <w:rPr>
          <w:rFonts w:ascii="DejaVu Sans Mono" w:hAnsi="DejaVu Sans Mono"/>
          <w:b w:val="0"/>
          <w:i w:val="0"/>
          <w:sz w:val="17"/>
        </w:rPr>
        <w:t>0.5c_battery</w:t>
      </w:r>
      <w:r>
        <w:rPr>
          <w:b w:val="0"/>
          <w:i w:val="0"/>
        </w:rPr>
        <w:t xml:space="preserve">, </w:t>
      </w:r>
      <w:r>
        <w:rPr>
          <w:rFonts w:ascii="DejaVu Sans Mono" w:hAnsi="DejaVu Sans Mono"/>
          <w:b w:val="0"/>
          <w:i w:val="0"/>
          <w:sz w:val="17"/>
        </w:rPr>
        <w:t>0.25c_battery</w:t>
      </w:r>
      <w:r>
        <w:rPr>
          <w:b w:val="0"/>
          <w:i w:val="0"/>
        </w:rPr>
        <w:t xml:space="preserve"> and </w:t>
      </w:r>
      <w:r>
        <w:rPr>
          <w:rFonts w:ascii="DejaVu Sans Mono" w:hAnsi="DejaVu Sans Mono"/>
          <w:b w:val="0"/>
          <w:i w:val="0"/>
          <w:sz w:val="17"/>
        </w:rPr>
        <w:t>hydrogen_battery</w:t>
      </w:r>
      <w:r>
        <w:rPr>
          <w:b w:val="0"/>
          <w:i w:val="0"/>
        </w:rPr>
        <w:t xml:space="preserve">. Each </w:t>
      </w:r>
      <w:r>
        <w:rPr>
          <w:rFonts w:ascii="DejaVu Sans Mono" w:hAnsi="DejaVu Sans Mono"/>
          <w:b w:val="0"/>
          <w:i w:val="0"/>
          <w:sz w:val="17"/>
        </w:rPr>
        <w:t>declared_​component_​capacity</w:t>
      </w:r>
      <w:r>
        <w:rPr>
          <w:b w:val="0"/>
          <w:i w:val="0"/>
        </w:rPr>
        <w:t xml:space="preserve"> equals the source capacity times its weight divided by total weight. The settings </w:t>
      </w:r>
      <w:r>
        <w:rPr>
          <w:rFonts w:ascii="DejaVu Sans Mono" w:hAnsi="DejaVu Sans Mono"/>
          <w:b w:val="0"/>
          <w:i w:val="0"/>
          <w:sz w:val="17"/>
        </w:rPr>
        <w:t>all_1c</w:t>
      </w:r>
      <w:r>
        <w:rPr>
          <w:b w:val="0"/>
          <w:i w:val="0"/>
        </w:rPr>
        <w:t xml:space="preserve">, </w:t>
      </w:r>
      <w:r>
        <w:rPr>
          <w:rFonts w:ascii="DejaVu Sans Mono" w:hAnsi="DejaVu Sans Mono"/>
          <w:b w:val="0"/>
          <w:i w:val="0"/>
          <w:sz w:val="17"/>
        </w:rPr>
        <w:t>all_0.5c</w:t>
      </w:r>
      <w:r>
        <w:rPr>
          <w:b w:val="0"/>
          <w:i w:val="0"/>
        </w:rPr>
        <w:t xml:space="preserve"> and </w:t>
      </w:r>
      <w:r>
        <w:rPr>
          <w:rFonts w:ascii="DejaVu Sans Mono" w:hAnsi="DejaVu Sans Mono"/>
          <w:b w:val="0"/>
          <w:i w:val="0"/>
          <w:sz w:val="17"/>
        </w:rPr>
        <w:t>all_0.25c</w:t>
      </w:r>
      <w:r>
        <w:rPr>
          <w:b w:val="0"/>
          <w:i w:val="0"/>
        </w:rPr>
        <w:t xml:space="preserve"> assign the full capacity to one technology; </w:t>
      </w:r>
      <w:r>
        <w:rPr>
          <w:rFonts w:ascii="DejaVu Sans Mono" w:hAnsi="DejaVu Sans Mono"/>
          <w:b w:val="0"/>
          <w:i w:val="0"/>
          <w:sz w:val="17"/>
        </w:rPr>
        <w:t>exclude_untyped</w:t>
      </w:r>
      <w:r>
        <w:rPr>
          <w:b w:val="0"/>
          <w:i w:val="0"/>
        </w:rPr>
        <w:t xml:space="preserve"> removes generic battery projects from the initial list. Projects with a specified technology retain that technology and capacity.</w:t>
      </w:r>
    </w:p>
    <w:p>
      <w:r>
        <w:rPr>
          <w:b w:val="0"/>
          <w:i w:val="0"/>
        </w:rPr>
        <w:t xml:space="preserve">The expected-capacity mode multiplies each component's declared MW by its success probability. The stochastic setting </w:t>
      </w:r>
      <w:r>
        <w:rPr>
          <w:rFonts w:ascii="DejaVu Sans Mono" w:hAnsi="DejaVu Sans Mono"/>
          <w:b w:val="0"/>
          <w:i w:val="0"/>
          <w:sz w:val="17"/>
        </w:rPr>
        <w:t>planning.success_​mode="stochastic"</w:t>
      </w:r>
      <w:r>
        <w:rPr>
          <w:b w:val="0"/>
          <w:i w:val="0"/>
        </w:rPr>
        <w:t xml:space="preserve">, read as </w:t>
      </w:r>
      <w:r>
        <w:rPr>
          <w:rFonts w:ascii="DejaVu Sans Mono" w:hAnsi="DejaVu Sans Mono"/>
          <w:b w:val="0"/>
          <w:i w:val="0"/>
          <w:sz w:val="17"/>
        </w:rPr>
        <w:t>seeded_stochastic</w:t>
      </w:r>
      <w:r>
        <w:rPr>
          <w:b w:val="0"/>
          <w:i w:val="0"/>
        </w:rPr>
        <w:t xml:space="preserve">, retains full declared MW and sets </w:t>
      </w:r>
      <w:r>
        <w:rPr>
          <w:rFonts w:ascii="DejaVu Sans Mono" w:hAnsi="DejaVu Sans Mono"/>
          <w:b w:val="0"/>
          <w:i w:val="0"/>
          <w:sz w:val="17"/>
        </w:rPr>
        <w:t>phase="failed"</w:t>
      </w:r>
      <w:r>
        <w:rPr>
          <w:b w:val="0"/>
          <w:i w:val="0"/>
        </w:rPr>
        <w:t xml:space="preserve"> and </w:t>
      </w:r>
      <w:r>
        <w:rPr>
          <w:rFonts w:ascii="DejaVu Sans Mono" w:hAnsi="DejaVu Sans Mono"/>
          <w:b w:val="0"/>
          <w:i w:val="0"/>
          <w:sz w:val="17"/>
        </w:rPr>
        <w:t>outcome="failed_planning"</w:t>
      </w:r>
      <w:r>
        <w:rPr>
          <w:b w:val="0"/>
          <w:i w:val="0"/>
        </w:rPr>
        <w:t xml:space="preserve"> when </w:t>
      </w:r>
      <w:r>
        <w:rPr>
          <w:rFonts w:ascii="DejaVu Sans Mono" w:hAnsi="DejaVu Sans Mono"/>
          <w:b w:val="0"/>
          <w:i w:val="0"/>
          <w:sz w:val="17"/>
        </w:rPr>
        <w:t>draw &gt; probability</w:t>
      </w:r>
      <w:r>
        <w:rPr>
          <w:b w:val="0"/>
          <w:i w:val="0"/>
        </w:rPr>
        <w:t xml:space="preserve">; equality passes. Successful projects and expected-capacity projects receive </w:t>
      </w:r>
      <w:r>
        <w:rPr>
          <w:rFonts w:ascii="DejaVu Sans Mono" w:hAnsi="DejaVu Sans Mono"/>
          <w:b w:val="0"/>
          <w:i w:val="0"/>
          <w:sz w:val="17"/>
        </w:rPr>
        <w:t>phase="active"</w:t>
      </w:r>
      <w:r>
        <w:rPr>
          <w:b w:val="0"/>
          <w:i w:val="0"/>
        </w:rPr>
        <w:t xml:space="preserve"> and </w:t>
      </w:r>
      <w:r>
        <w:rPr>
          <w:rFonts w:ascii="DejaVu Sans Mono" w:hAnsi="DejaVu Sans Mono"/>
          <w:b w:val="0"/>
          <w:i w:val="0"/>
          <w:sz w:val="17"/>
        </w:rPr>
        <w:t>outcome="active"</w:t>
      </w:r>
      <w:r>
        <w:rPr>
          <w:b w:val="0"/>
          <w:i w:val="0"/>
        </w:rPr>
        <w:t xml:space="preserve">. Storage energy is </w:t>
      </w:r>
      <w:r>
        <w:rPr>
          <w:rFonts w:ascii="DejaVu Sans Mono" w:hAnsi="DejaVu Sans Mono"/>
          <w:b w:val="0"/>
          <w:i w:val="0"/>
          <w:sz w:val="17"/>
        </w:rPr>
        <w:t>effective_capacity * duration_hours</w:t>
      </w:r>
      <w:r>
        <w:rPr>
          <w:b w:val="0"/>
          <w:i w:val="0"/>
        </w:rPr>
        <w:t xml:space="preserve"> in MWh. </w:t>
      </w:r>
      <w:r>
        <w:rPr>
          <w:rFonts w:ascii="DejaVu Sans Mono" w:hAnsi="DejaVu Sans Mono"/>
          <w:b w:val="0"/>
          <w:i w:val="0"/>
          <w:sz w:val="17"/>
        </w:rPr>
        <w:t>PlanningProject</w:t>
      </w:r>
      <w:r>
        <w:rPr>
          <w:b w:val="0"/>
          <w:i w:val="0"/>
        </w:rPr>
        <w:t xml:space="preserve"> stores these values with </w:t>
      </w:r>
      <w:r>
        <w:rPr>
          <w:rFonts w:ascii="DejaVu Sans Mono" w:hAnsi="DejaVu Sans Mono"/>
          <w:b w:val="0"/>
          <w:i w:val="0"/>
          <w:sz w:val="17"/>
        </w:rPr>
        <w:t>expected_​completion_​year=completion</w:t>
      </w:r>
      <w:r>
        <w:rPr>
          <w:b w:val="0"/>
          <w:i w:val="0"/>
        </w:rPr>
        <w:t>, the start year, status, technology and region for Chapter 6's annual progression.</w:t>
      </w:r>
    </w:p>
    <w:p>
      <w:r>
        <w:rPr>
          <w:b w:val="0"/>
          <w:i w:val="0"/>
        </w:rPr>
        <w:t xml:space="preserve">New investment proposals use the success-rate lookup in </w:t>
      </w:r>
      <w:r>
        <w:rPr>
          <w:rFonts w:ascii="DejaVu Sans Mono" w:hAnsi="DejaVu Sans Mono"/>
          <w:b w:val="0"/>
          <w:i w:val="0"/>
          <w:sz w:val="17"/>
        </w:rPr>
        <w:t>endogenous_​planning._​success_​rate</w:t>
      </w:r>
      <w:r>
        <w:rPr>
          <w:b w:val="0"/>
          <w:i w:val="0"/>
        </w:rPr>
        <w:t>. It selects the regional rate, then the technology's regional mean, then 0.75. Chapter 6 defines proposal capacity and the subsequent planning process.</w:t>
      </w:r>
    </w:p>
    <w:p>
      <w:pPr>
        <w:pStyle w:val="Heading2"/>
      </w:pPr>
      <w:r>
        <w:rPr>
          <w:b w:val="0"/>
          <w:i w:val="0"/>
        </w:rPr>
        <w:t>Capital costs and storage parameters</w:t>
      </w:r>
    </w:p>
    <w:p>
      <w:r>
        <w:rPr>
          <w:b w:val="0"/>
          <w:i w:val="0"/>
        </w:rPr>
        <w:t xml:space="preserve">Capital costs, target returns and payback periods are supplied as distinct financial inputs. The R029 configuration reads </w:t>
      </w:r>
      <w:r>
        <w:rPr>
          <w:rFonts w:ascii="DejaVu Sans Mono" w:hAnsi="DejaVu Sans Mono"/>
          <w:b w:val="0"/>
          <w:i w:val="0"/>
          <w:sz w:val="17"/>
        </w:rPr>
        <w:t>capital_costs.json</w:t>
      </w:r>
      <w:r>
        <w:rPr>
          <w:b w:val="0"/>
          <w:i w:val="0"/>
        </w:rPr>
        <w:t xml:space="preserve"> and </w:t>
      </w:r>
      <w:r>
        <w:rPr>
          <w:rFonts w:ascii="DejaVu Sans Mono" w:hAnsi="DejaVu Sans Mono"/>
          <w:b w:val="0"/>
          <w:i w:val="0"/>
          <w:sz w:val="17"/>
        </w:rPr>
        <w:t>model_parameters.json</w:t>
      </w:r>
      <w:r>
        <w:rPr>
          <w:b w:val="0"/>
          <w:i w:val="0"/>
        </w:rPr>
        <w:t xml:space="preserve">; the capital-cost material draws on BEIS Electricity Generation Costs 2020 and Arup. The table gives the financial parameters assigned to the initial assets. Annual capital recovery uses </w:t>
      </w:r>
      <w:r>
        <w:rPr>
          <w:rFonts w:ascii="DejaVu Sans Mono" w:hAnsi="DejaVu Sans Mono"/>
          <w:b w:val="0"/>
          <w:i w:val="0"/>
          <w:sz w:val="17"/>
        </w:rPr>
        <w:t>capital_​discount_​rate=0.05</w:t>
      </w:r>
      <w:r>
        <w:rPr>
          <w:b w:val="0"/>
          <w:i w:val="0"/>
        </w:rPr>
        <w:t>; the investment calculations and effective decision thresholds are defined in Chapter 6.</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20"/>
        <w:gridCol w:w="2543"/>
        <w:gridCol w:w="2226"/>
        <w:gridCol w:w="2604"/>
      </w:tblGrid>
      <w:tr>
        <w:trPr>
          <w:cantSplit/>
          <w:tblHeader w:val="true"/>
        </w:trPr>
        <w:tc>
          <w:tcPr>
            <w:tcW w:type="dxa" w:w="2420"/>
            <w:vAlign w:val="center"/>
            <w:tcMar>
              <w:top w:w="90" w:type="dxa"/>
              <w:left w:w="90" w:type="dxa"/>
              <w:bottom w:w="90" w:type="dxa"/>
              <w:right w:w="90" w:type="dxa"/>
            </w:tcMar>
            <w:shd w:fill="EEEEEE"/>
          </w:tcPr>
          <w:p>
            <w:pPr>
              <w:spacing w:after="40" w:line="276" w:lineRule="auto"/>
            </w:pPr>
            <w:r>
              <w:rPr>
                <w:b/>
                <w:i w:val="0"/>
                <w:sz w:val="18"/>
              </w:rPr>
              <w:t>Technology</w:t>
            </w:r>
          </w:p>
        </w:tc>
        <w:tc>
          <w:tcPr>
            <w:tcW w:type="dxa" w:w="2543"/>
            <w:vAlign w:val="center"/>
            <w:tcMar>
              <w:top w:w="90" w:type="dxa"/>
              <w:left w:w="90" w:type="dxa"/>
              <w:bottom w:w="90" w:type="dxa"/>
              <w:right w:w="90" w:type="dxa"/>
            </w:tcMar>
            <w:shd w:fill="EEEEEE"/>
          </w:tcPr>
          <w:p>
            <w:pPr>
              <w:spacing w:after="40" w:line="276" w:lineRule="auto"/>
            </w:pPr>
            <w:r>
              <w:rPr>
                <w:b/>
                <w:i w:val="0"/>
                <w:sz w:val="18"/>
              </w:rPr>
              <w:t>Capital cost GBP/MW</w:t>
            </w:r>
          </w:p>
        </w:tc>
        <w:tc>
          <w:tcPr>
            <w:tcW w:type="dxa" w:w="2226"/>
            <w:vAlign w:val="center"/>
            <w:tcMar>
              <w:top w:w="90" w:type="dxa"/>
              <w:left w:w="90" w:type="dxa"/>
              <w:bottom w:w="90" w:type="dxa"/>
              <w:right w:w="90" w:type="dxa"/>
            </w:tcMar>
            <w:shd w:fill="EEEEEE"/>
          </w:tcPr>
          <w:p>
            <w:pPr>
              <w:spacing w:after="40" w:line="276" w:lineRule="auto"/>
            </w:pPr>
            <w:r>
              <w:rPr>
                <w:rFonts w:ascii="DejaVu Sans Mono" w:hAnsi="DejaVu Sans Mono"/>
                <w:b/>
                <w:i w:val="0"/>
                <w:sz w:val="18"/>
              </w:rPr>
              <w:t>preferred_rate</w:t>
            </w:r>
          </w:p>
        </w:tc>
        <w:tc>
          <w:tcPr>
            <w:tcW w:type="dxa" w:w="2604"/>
            <w:vAlign w:val="center"/>
            <w:tcMar>
              <w:top w:w="90" w:type="dxa"/>
              <w:left w:w="90" w:type="dxa"/>
              <w:bottom w:w="90" w:type="dxa"/>
              <w:right w:w="90" w:type="dxa"/>
            </w:tcMar>
            <w:shd w:fill="EEEEEE"/>
          </w:tcPr>
          <w:p>
            <w:pPr>
              <w:spacing w:after="40" w:line="276" w:lineRule="auto"/>
            </w:pPr>
            <w:r>
              <w:rPr>
                <w:b/>
                <w:i w:val="0"/>
                <w:sz w:val="18"/>
              </w:rPr>
              <w:t>Target payback years</w:t>
            </w:r>
          </w:p>
        </w:tc>
      </w:tr>
      <w:tr>
        <w:trPr>
          <w:cantSplit/>
        </w:trPr>
        <w:tc>
          <w:tcPr>
            <w:tcW w:type="dxa" w:w="2420"/>
            <w:vAlign w:val="center"/>
            <w:tcMar>
              <w:top w:w="90" w:type="dxa"/>
              <w:left w:w="90" w:type="dxa"/>
              <w:bottom w:w="90" w:type="dxa"/>
              <w:right w:w="90" w:type="dxa"/>
            </w:tcMar>
          </w:tcPr>
          <w:p>
            <w:pPr>
              <w:spacing w:after="40" w:line="276" w:lineRule="auto"/>
            </w:pPr>
            <w:r>
              <w:rPr>
                <w:b w:val="0"/>
                <w:i w:val="0"/>
                <w:sz w:val="18"/>
              </w:rPr>
              <w:t>Solar</w:t>
            </w:r>
          </w:p>
        </w:tc>
        <w:tc>
          <w:tcPr>
            <w:tcW w:type="dxa" w:w="2543"/>
            <w:vAlign w:val="center"/>
            <w:tcMar>
              <w:top w:w="90" w:type="dxa"/>
              <w:left w:w="90" w:type="dxa"/>
              <w:bottom w:w="90" w:type="dxa"/>
              <w:right w:w="90" w:type="dxa"/>
            </w:tcMar>
          </w:tcPr>
          <w:p>
            <w:pPr>
              <w:spacing w:after="40" w:line="276" w:lineRule="auto"/>
            </w:pPr>
            <w:r>
              <w:rPr>
                <w:b w:val="0"/>
                <w:i w:val="0"/>
                <w:sz w:val="18"/>
              </w:rPr>
              <w:t>659,000</w:t>
            </w:r>
          </w:p>
        </w:tc>
        <w:tc>
          <w:tcPr>
            <w:tcW w:type="dxa" w:w="2226"/>
            <w:vAlign w:val="center"/>
            <w:tcMar>
              <w:top w:w="90" w:type="dxa"/>
              <w:left w:w="90" w:type="dxa"/>
              <w:bottom w:w="90" w:type="dxa"/>
              <w:right w:w="90" w:type="dxa"/>
            </w:tcMar>
          </w:tcPr>
          <w:p>
            <w:pPr>
              <w:spacing w:after="40" w:line="276" w:lineRule="auto"/>
            </w:pPr>
            <w:r>
              <w:rPr>
                <w:b w:val="0"/>
                <w:i w:val="0"/>
                <w:sz w:val="18"/>
              </w:rPr>
              <w:t>0.076</w:t>
            </w:r>
          </w:p>
        </w:tc>
        <w:tc>
          <w:tcPr>
            <w:tcW w:type="dxa" w:w="2604"/>
            <w:vAlign w:val="center"/>
            <w:tcMar>
              <w:top w:w="90" w:type="dxa"/>
              <w:left w:w="90" w:type="dxa"/>
              <w:bottom w:w="90" w:type="dxa"/>
              <w:right w:w="90" w:type="dxa"/>
            </w:tcMar>
          </w:tcPr>
          <w:p>
            <w:pPr>
              <w:spacing w:after="40" w:line="276" w:lineRule="auto"/>
            </w:pPr>
            <w:r>
              <w:rPr>
                <w:b w:val="0"/>
                <w:i w:val="0"/>
                <w:sz w:val="18"/>
              </w:rPr>
              <w:t>25</w:t>
            </w:r>
          </w:p>
        </w:tc>
      </w:tr>
      <w:tr>
        <w:trPr>
          <w:cantSplit/>
        </w:trPr>
        <w:tc>
          <w:tcPr>
            <w:tcW w:type="dxa" w:w="2420"/>
            <w:vAlign w:val="center"/>
            <w:tcMar>
              <w:top w:w="90" w:type="dxa"/>
              <w:left w:w="90" w:type="dxa"/>
              <w:bottom w:w="90" w:type="dxa"/>
              <w:right w:w="90" w:type="dxa"/>
            </w:tcMar>
          </w:tcPr>
          <w:p>
            <w:pPr>
              <w:spacing w:after="40" w:line="276" w:lineRule="auto"/>
            </w:pPr>
            <w:r>
              <w:rPr>
                <w:b w:val="0"/>
                <w:i w:val="0"/>
                <w:sz w:val="18"/>
              </w:rPr>
              <w:t>Onshore wind</w:t>
            </w:r>
          </w:p>
        </w:tc>
        <w:tc>
          <w:tcPr>
            <w:tcW w:type="dxa" w:w="2543"/>
            <w:vAlign w:val="center"/>
            <w:tcMar>
              <w:top w:w="90" w:type="dxa"/>
              <w:left w:w="90" w:type="dxa"/>
              <w:bottom w:w="90" w:type="dxa"/>
              <w:right w:w="90" w:type="dxa"/>
            </w:tcMar>
          </w:tcPr>
          <w:p>
            <w:pPr>
              <w:spacing w:after="40" w:line="276" w:lineRule="auto"/>
            </w:pPr>
            <w:r>
              <w:rPr>
                <w:b w:val="0"/>
                <w:i w:val="0"/>
                <w:sz w:val="18"/>
              </w:rPr>
              <w:t>1,588,000</w:t>
            </w:r>
          </w:p>
        </w:tc>
        <w:tc>
          <w:tcPr>
            <w:tcW w:type="dxa" w:w="2226"/>
            <w:vAlign w:val="center"/>
            <w:tcMar>
              <w:top w:w="90" w:type="dxa"/>
              <w:left w:w="90" w:type="dxa"/>
              <w:bottom w:w="90" w:type="dxa"/>
              <w:right w:w="90" w:type="dxa"/>
            </w:tcMar>
          </w:tcPr>
          <w:p>
            <w:pPr>
              <w:spacing w:after="40" w:line="276" w:lineRule="auto"/>
            </w:pPr>
            <w:r>
              <w:rPr>
                <w:b w:val="0"/>
                <w:i w:val="0"/>
                <w:sz w:val="18"/>
              </w:rPr>
              <w:t>0.076</w:t>
            </w:r>
          </w:p>
        </w:tc>
        <w:tc>
          <w:tcPr>
            <w:tcW w:type="dxa" w:w="2604"/>
            <w:vAlign w:val="center"/>
            <w:tcMar>
              <w:top w:w="90" w:type="dxa"/>
              <w:left w:w="90" w:type="dxa"/>
              <w:bottom w:w="90" w:type="dxa"/>
              <w:right w:w="90" w:type="dxa"/>
            </w:tcMar>
          </w:tcPr>
          <w:p>
            <w:pPr>
              <w:spacing w:after="40" w:line="276" w:lineRule="auto"/>
            </w:pPr>
            <w:r>
              <w:rPr>
                <w:b w:val="0"/>
                <w:i w:val="0"/>
                <w:sz w:val="18"/>
              </w:rPr>
              <w:t>30</w:t>
            </w:r>
          </w:p>
        </w:tc>
      </w:tr>
      <w:tr>
        <w:trPr>
          <w:cantSplit/>
        </w:trPr>
        <w:tc>
          <w:tcPr>
            <w:tcW w:type="dxa" w:w="2420"/>
            <w:vAlign w:val="center"/>
            <w:tcMar>
              <w:top w:w="90" w:type="dxa"/>
              <w:left w:w="90" w:type="dxa"/>
              <w:bottom w:w="90" w:type="dxa"/>
              <w:right w:w="90" w:type="dxa"/>
            </w:tcMar>
          </w:tcPr>
          <w:p>
            <w:pPr>
              <w:spacing w:after="40" w:line="276" w:lineRule="auto"/>
            </w:pPr>
            <w:r>
              <w:rPr>
                <w:b w:val="0"/>
                <w:i w:val="0"/>
                <w:sz w:val="18"/>
              </w:rPr>
              <w:t>Offshore wind</w:t>
            </w:r>
          </w:p>
        </w:tc>
        <w:tc>
          <w:tcPr>
            <w:tcW w:type="dxa" w:w="2543"/>
            <w:vAlign w:val="center"/>
            <w:tcMar>
              <w:top w:w="90" w:type="dxa"/>
              <w:left w:w="90" w:type="dxa"/>
              <w:bottom w:w="90" w:type="dxa"/>
              <w:right w:w="90" w:type="dxa"/>
            </w:tcMar>
          </w:tcPr>
          <w:p>
            <w:pPr>
              <w:spacing w:after="40" w:line="276" w:lineRule="auto"/>
            </w:pPr>
            <w:r>
              <w:rPr>
                <w:b w:val="0"/>
                <w:i w:val="0"/>
                <w:sz w:val="18"/>
              </w:rPr>
              <w:t>3,976,000</w:t>
            </w:r>
          </w:p>
        </w:tc>
        <w:tc>
          <w:tcPr>
            <w:tcW w:type="dxa" w:w="2226"/>
            <w:vAlign w:val="center"/>
            <w:tcMar>
              <w:top w:w="90" w:type="dxa"/>
              <w:left w:w="90" w:type="dxa"/>
              <w:bottom w:w="90" w:type="dxa"/>
              <w:right w:w="90" w:type="dxa"/>
            </w:tcMar>
          </w:tcPr>
          <w:p>
            <w:pPr>
              <w:spacing w:after="40" w:line="276" w:lineRule="auto"/>
            </w:pPr>
            <w:r>
              <w:rPr>
                <w:b w:val="0"/>
                <w:i w:val="0"/>
                <w:sz w:val="18"/>
              </w:rPr>
              <w:t>0.089</w:t>
            </w:r>
          </w:p>
        </w:tc>
        <w:tc>
          <w:tcPr>
            <w:tcW w:type="dxa" w:w="2604"/>
            <w:vAlign w:val="center"/>
            <w:tcMar>
              <w:top w:w="90" w:type="dxa"/>
              <w:left w:w="90" w:type="dxa"/>
              <w:bottom w:w="90" w:type="dxa"/>
              <w:right w:w="90" w:type="dxa"/>
            </w:tcMar>
          </w:tcPr>
          <w:p>
            <w:pPr>
              <w:spacing w:after="40" w:line="276" w:lineRule="auto"/>
            </w:pPr>
            <w:r>
              <w:rPr>
                <w:b w:val="0"/>
                <w:i w:val="0"/>
                <w:sz w:val="18"/>
              </w:rPr>
              <w:t>30</w:t>
            </w:r>
          </w:p>
        </w:tc>
      </w:tr>
      <w:tr>
        <w:trPr>
          <w:cantSplit/>
        </w:trPr>
        <w:tc>
          <w:tcPr>
            <w:tcW w:type="dxa" w:w="2420"/>
            <w:vAlign w:val="center"/>
            <w:tcMar>
              <w:top w:w="90" w:type="dxa"/>
              <w:left w:w="90" w:type="dxa"/>
              <w:bottom w:w="90" w:type="dxa"/>
              <w:right w:w="90" w:type="dxa"/>
            </w:tcMar>
          </w:tcPr>
          <w:p>
            <w:pPr>
              <w:spacing w:after="40" w:line="276" w:lineRule="auto"/>
            </w:pPr>
            <w:r>
              <w:rPr>
                <w:b w:val="0"/>
                <w:i w:val="0"/>
                <w:sz w:val="18"/>
              </w:rPr>
              <w:t>CCGT / OCGT</w:t>
            </w:r>
          </w:p>
        </w:tc>
        <w:tc>
          <w:tcPr>
            <w:tcW w:type="dxa" w:w="2543"/>
            <w:vAlign w:val="center"/>
            <w:tcMar>
              <w:top w:w="90" w:type="dxa"/>
              <w:left w:w="90" w:type="dxa"/>
              <w:bottom w:w="90" w:type="dxa"/>
              <w:right w:w="90" w:type="dxa"/>
            </w:tcMar>
          </w:tcPr>
          <w:p>
            <w:pPr>
              <w:spacing w:after="40" w:line="276" w:lineRule="auto"/>
            </w:pPr>
            <w:r>
              <w:rPr>
                <w:b w:val="0"/>
                <w:i w:val="0"/>
                <w:sz w:val="18"/>
              </w:rPr>
              <w:t>2,400,000</w:t>
            </w:r>
          </w:p>
        </w:tc>
        <w:tc>
          <w:tcPr>
            <w:tcW w:type="dxa" w:w="2226"/>
            <w:vAlign w:val="center"/>
            <w:tcMar>
              <w:top w:w="90" w:type="dxa"/>
              <w:left w:w="90" w:type="dxa"/>
              <w:bottom w:w="90" w:type="dxa"/>
              <w:right w:w="90" w:type="dxa"/>
            </w:tcMar>
          </w:tcPr>
          <w:p>
            <w:pPr>
              <w:spacing w:after="40" w:line="276" w:lineRule="auto"/>
            </w:pPr>
            <w:r>
              <w:rPr>
                <w:b w:val="0"/>
                <w:i w:val="0"/>
                <w:sz w:val="18"/>
              </w:rPr>
              <w:t>0.089</w:t>
            </w:r>
          </w:p>
        </w:tc>
        <w:tc>
          <w:tcPr>
            <w:tcW w:type="dxa" w:w="2604"/>
            <w:vAlign w:val="center"/>
            <w:tcMar>
              <w:top w:w="90" w:type="dxa"/>
              <w:left w:w="90" w:type="dxa"/>
              <w:bottom w:w="90" w:type="dxa"/>
              <w:right w:w="90" w:type="dxa"/>
            </w:tcMar>
          </w:tcPr>
          <w:p>
            <w:pPr>
              <w:spacing w:after="40" w:line="276" w:lineRule="auto"/>
            </w:pPr>
            <w:r>
              <w:rPr>
                <w:b w:val="0"/>
                <w:i w:val="0"/>
                <w:sz w:val="18"/>
              </w:rPr>
              <w:t>25</w:t>
            </w:r>
          </w:p>
        </w:tc>
      </w:tr>
      <w:tr>
        <w:trPr>
          <w:cantSplit/>
        </w:trPr>
        <w:tc>
          <w:tcPr>
            <w:tcW w:type="dxa" w:w="2420"/>
            <w:vAlign w:val="center"/>
            <w:tcMar>
              <w:top w:w="90" w:type="dxa"/>
              <w:left w:w="90" w:type="dxa"/>
              <w:bottom w:w="90" w:type="dxa"/>
              <w:right w:w="90" w:type="dxa"/>
            </w:tcMar>
          </w:tcPr>
          <w:p>
            <w:pPr>
              <w:spacing w:after="40" w:line="276" w:lineRule="auto"/>
            </w:pPr>
            <w:r>
              <w:rPr>
                <w:b w:val="0"/>
                <w:i w:val="0"/>
                <w:sz w:val="18"/>
              </w:rPr>
              <w:t>Biomass and waste</w:t>
            </w:r>
          </w:p>
        </w:tc>
        <w:tc>
          <w:tcPr>
            <w:tcW w:type="dxa" w:w="2543"/>
            <w:vAlign w:val="center"/>
            <w:tcMar>
              <w:top w:w="90" w:type="dxa"/>
              <w:left w:w="90" w:type="dxa"/>
              <w:bottom w:w="90" w:type="dxa"/>
              <w:right w:w="90" w:type="dxa"/>
            </w:tcMar>
          </w:tcPr>
          <w:p>
            <w:pPr>
              <w:spacing w:after="40" w:line="276" w:lineRule="auto"/>
            </w:pPr>
            <w:r>
              <w:rPr>
                <w:b w:val="0"/>
                <w:i w:val="0"/>
                <w:sz w:val="18"/>
              </w:rPr>
              <w:t>1,500,000</w:t>
            </w:r>
          </w:p>
        </w:tc>
        <w:tc>
          <w:tcPr>
            <w:tcW w:type="dxa" w:w="2226"/>
            <w:vAlign w:val="center"/>
            <w:tcMar>
              <w:top w:w="90" w:type="dxa"/>
              <w:left w:w="90" w:type="dxa"/>
              <w:bottom w:w="90" w:type="dxa"/>
              <w:right w:w="90" w:type="dxa"/>
            </w:tcMar>
          </w:tcPr>
          <w:p>
            <w:pPr>
              <w:spacing w:after="40" w:line="276" w:lineRule="auto"/>
            </w:pPr>
            <w:r>
              <w:rPr>
                <w:b w:val="0"/>
                <w:i w:val="0"/>
                <w:sz w:val="18"/>
              </w:rPr>
              <w:t>0.089</w:t>
            </w:r>
          </w:p>
        </w:tc>
        <w:tc>
          <w:tcPr>
            <w:tcW w:type="dxa" w:w="2604"/>
            <w:vAlign w:val="center"/>
            <w:tcMar>
              <w:top w:w="90" w:type="dxa"/>
              <w:left w:w="90" w:type="dxa"/>
              <w:bottom w:w="90" w:type="dxa"/>
              <w:right w:w="90" w:type="dxa"/>
            </w:tcMar>
          </w:tcPr>
          <w:p>
            <w:pPr>
              <w:spacing w:after="40" w:line="276" w:lineRule="auto"/>
            </w:pPr>
            <w:r>
              <w:rPr>
                <w:b w:val="0"/>
                <w:i w:val="0"/>
                <w:sz w:val="18"/>
              </w:rPr>
              <w:t>25</w:t>
            </w:r>
          </w:p>
        </w:tc>
      </w:tr>
      <w:tr>
        <w:trPr>
          <w:cantSplit/>
        </w:trPr>
        <w:tc>
          <w:tcPr>
            <w:tcW w:type="dxa" w:w="2420"/>
            <w:vAlign w:val="center"/>
            <w:tcMar>
              <w:top w:w="90" w:type="dxa"/>
              <w:left w:w="90" w:type="dxa"/>
              <w:bottom w:w="90" w:type="dxa"/>
              <w:right w:w="90" w:type="dxa"/>
            </w:tcMar>
          </w:tcPr>
          <w:p>
            <w:pPr>
              <w:spacing w:after="40" w:line="276" w:lineRule="auto"/>
            </w:pPr>
            <w:r>
              <w:rPr>
                <w:b w:val="0"/>
                <w:i w:val="0"/>
                <w:sz w:val="18"/>
              </w:rPr>
              <w:t>1C battery</w:t>
            </w:r>
          </w:p>
        </w:tc>
        <w:tc>
          <w:tcPr>
            <w:tcW w:type="dxa" w:w="2543"/>
            <w:vAlign w:val="center"/>
            <w:tcMar>
              <w:top w:w="90" w:type="dxa"/>
              <w:left w:w="90" w:type="dxa"/>
              <w:bottom w:w="90" w:type="dxa"/>
              <w:right w:w="90" w:type="dxa"/>
            </w:tcMar>
          </w:tcPr>
          <w:p>
            <w:pPr>
              <w:spacing w:after="40" w:line="276" w:lineRule="auto"/>
            </w:pPr>
            <w:r>
              <w:rPr>
                <w:b w:val="0"/>
                <w:i w:val="0"/>
                <w:sz w:val="18"/>
              </w:rPr>
              <w:t>330,000</w:t>
            </w:r>
          </w:p>
        </w:tc>
        <w:tc>
          <w:tcPr>
            <w:tcW w:type="dxa" w:w="2226"/>
            <w:vAlign w:val="center"/>
            <w:tcMar>
              <w:top w:w="90" w:type="dxa"/>
              <w:left w:w="90" w:type="dxa"/>
              <w:bottom w:w="90" w:type="dxa"/>
              <w:right w:w="90" w:type="dxa"/>
            </w:tcMar>
          </w:tcPr>
          <w:p>
            <w:pPr>
              <w:spacing w:after="40" w:line="276" w:lineRule="auto"/>
            </w:pPr>
            <w:r>
              <w:rPr>
                <w:b w:val="0"/>
                <w:i w:val="0"/>
                <w:sz w:val="18"/>
              </w:rPr>
              <w:t>0.0825</w:t>
            </w:r>
          </w:p>
        </w:tc>
        <w:tc>
          <w:tcPr>
            <w:tcW w:type="dxa" w:w="2604"/>
            <w:vAlign w:val="center"/>
            <w:tcMar>
              <w:top w:w="90" w:type="dxa"/>
              <w:left w:w="90" w:type="dxa"/>
              <w:bottom w:w="90" w:type="dxa"/>
              <w:right w:w="90" w:type="dxa"/>
            </w:tcMar>
          </w:tcPr>
          <w:p>
            <w:pPr>
              <w:spacing w:after="40" w:line="276" w:lineRule="auto"/>
            </w:pPr>
            <w:r>
              <w:rPr>
                <w:b w:val="0"/>
                <w:i w:val="0"/>
                <w:sz w:val="18"/>
              </w:rPr>
              <w:t>10</w:t>
            </w:r>
          </w:p>
        </w:tc>
      </w:tr>
      <w:tr>
        <w:trPr>
          <w:cantSplit/>
        </w:trPr>
        <w:tc>
          <w:tcPr>
            <w:tcW w:type="dxa" w:w="2420"/>
            <w:vAlign w:val="center"/>
            <w:tcMar>
              <w:top w:w="90" w:type="dxa"/>
              <w:left w:w="90" w:type="dxa"/>
              <w:bottom w:w="90" w:type="dxa"/>
              <w:right w:w="90" w:type="dxa"/>
            </w:tcMar>
          </w:tcPr>
          <w:p>
            <w:pPr>
              <w:spacing w:after="40" w:line="276" w:lineRule="auto"/>
            </w:pPr>
            <w:r>
              <w:rPr>
                <w:b w:val="0"/>
                <w:i w:val="0"/>
                <w:sz w:val="18"/>
              </w:rPr>
              <w:t>0.5C battery</w:t>
            </w:r>
          </w:p>
        </w:tc>
        <w:tc>
          <w:tcPr>
            <w:tcW w:type="dxa" w:w="2543"/>
            <w:vAlign w:val="center"/>
            <w:tcMar>
              <w:top w:w="90" w:type="dxa"/>
              <w:left w:w="90" w:type="dxa"/>
              <w:bottom w:w="90" w:type="dxa"/>
              <w:right w:w="90" w:type="dxa"/>
            </w:tcMar>
          </w:tcPr>
          <w:p>
            <w:pPr>
              <w:spacing w:after="40" w:line="276" w:lineRule="auto"/>
            </w:pPr>
            <w:r>
              <w:rPr>
                <w:b w:val="0"/>
                <w:i w:val="0"/>
                <w:sz w:val="18"/>
              </w:rPr>
              <w:t>350,000</w:t>
            </w:r>
          </w:p>
        </w:tc>
        <w:tc>
          <w:tcPr>
            <w:tcW w:type="dxa" w:w="2226"/>
            <w:vAlign w:val="center"/>
            <w:tcMar>
              <w:top w:w="90" w:type="dxa"/>
              <w:left w:w="90" w:type="dxa"/>
              <w:bottom w:w="90" w:type="dxa"/>
              <w:right w:w="90" w:type="dxa"/>
            </w:tcMar>
          </w:tcPr>
          <w:p>
            <w:pPr>
              <w:spacing w:after="40" w:line="276" w:lineRule="auto"/>
            </w:pPr>
            <w:r>
              <w:rPr>
                <w:b w:val="0"/>
                <w:i w:val="0"/>
                <w:sz w:val="18"/>
              </w:rPr>
              <w:t>0.165</w:t>
            </w:r>
          </w:p>
        </w:tc>
        <w:tc>
          <w:tcPr>
            <w:tcW w:type="dxa" w:w="2604"/>
            <w:vAlign w:val="center"/>
            <w:tcMar>
              <w:top w:w="90" w:type="dxa"/>
              <w:left w:w="90" w:type="dxa"/>
              <w:bottom w:w="90" w:type="dxa"/>
              <w:right w:w="90" w:type="dxa"/>
            </w:tcMar>
          </w:tcPr>
          <w:p>
            <w:pPr>
              <w:spacing w:after="40" w:line="276" w:lineRule="auto"/>
            </w:pPr>
            <w:r>
              <w:rPr>
                <w:b w:val="0"/>
                <w:i w:val="0"/>
                <w:sz w:val="18"/>
              </w:rPr>
              <w:t>10</w:t>
            </w:r>
          </w:p>
        </w:tc>
      </w:tr>
      <w:tr>
        <w:trPr>
          <w:cantSplit/>
        </w:trPr>
        <w:tc>
          <w:tcPr>
            <w:tcW w:type="dxa" w:w="2420"/>
            <w:vAlign w:val="center"/>
            <w:tcMar>
              <w:top w:w="90" w:type="dxa"/>
              <w:left w:w="90" w:type="dxa"/>
              <w:bottom w:w="90" w:type="dxa"/>
              <w:right w:w="90" w:type="dxa"/>
            </w:tcMar>
          </w:tcPr>
          <w:p>
            <w:pPr>
              <w:spacing w:after="40" w:line="276" w:lineRule="auto"/>
            </w:pPr>
            <w:r>
              <w:rPr>
                <w:b w:val="0"/>
                <w:i w:val="0"/>
                <w:sz w:val="18"/>
              </w:rPr>
              <w:t>0.25C battery</w:t>
            </w:r>
          </w:p>
        </w:tc>
        <w:tc>
          <w:tcPr>
            <w:tcW w:type="dxa" w:w="2543"/>
            <w:vAlign w:val="center"/>
            <w:tcMar>
              <w:top w:w="90" w:type="dxa"/>
              <w:left w:w="90" w:type="dxa"/>
              <w:bottom w:w="90" w:type="dxa"/>
              <w:right w:w="90" w:type="dxa"/>
            </w:tcMar>
          </w:tcPr>
          <w:p>
            <w:pPr>
              <w:spacing w:after="40" w:line="276" w:lineRule="auto"/>
            </w:pPr>
            <w:r>
              <w:rPr>
                <w:b w:val="0"/>
                <w:i w:val="0"/>
                <w:sz w:val="18"/>
              </w:rPr>
              <w:t>415,000</w:t>
            </w:r>
          </w:p>
        </w:tc>
        <w:tc>
          <w:tcPr>
            <w:tcW w:type="dxa" w:w="2226"/>
            <w:vAlign w:val="center"/>
            <w:tcMar>
              <w:top w:w="90" w:type="dxa"/>
              <w:left w:w="90" w:type="dxa"/>
              <w:bottom w:w="90" w:type="dxa"/>
              <w:right w:w="90" w:type="dxa"/>
            </w:tcMar>
          </w:tcPr>
          <w:p>
            <w:pPr>
              <w:spacing w:after="40" w:line="276" w:lineRule="auto"/>
            </w:pPr>
            <w:r>
              <w:rPr>
                <w:b w:val="0"/>
                <w:i w:val="0"/>
                <w:sz w:val="18"/>
              </w:rPr>
              <w:t>0.0825</w:t>
            </w:r>
          </w:p>
        </w:tc>
        <w:tc>
          <w:tcPr>
            <w:tcW w:type="dxa" w:w="2604"/>
            <w:vAlign w:val="center"/>
            <w:tcMar>
              <w:top w:w="90" w:type="dxa"/>
              <w:left w:w="90" w:type="dxa"/>
              <w:bottom w:w="90" w:type="dxa"/>
              <w:right w:w="90" w:type="dxa"/>
            </w:tcMar>
          </w:tcPr>
          <w:p>
            <w:pPr>
              <w:spacing w:after="40" w:line="276" w:lineRule="auto"/>
            </w:pPr>
            <w:r>
              <w:rPr>
                <w:b w:val="0"/>
                <w:i w:val="0"/>
                <w:sz w:val="18"/>
              </w:rPr>
              <w:t>10</w:t>
            </w:r>
          </w:p>
        </w:tc>
      </w:tr>
      <w:tr>
        <w:trPr>
          <w:cantSplit/>
        </w:trPr>
        <w:tc>
          <w:tcPr>
            <w:tcW w:type="dxa" w:w="2420"/>
            <w:vAlign w:val="center"/>
            <w:tcMar>
              <w:top w:w="90" w:type="dxa"/>
              <w:left w:w="90" w:type="dxa"/>
              <w:bottom w:w="90" w:type="dxa"/>
              <w:right w:w="90" w:type="dxa"/>
            </w:tcMar>
          </w:tcPr>
          <w:p>
            <w:pPr>
              <w:spacing w:after="40" w:line="276" w:lineRule="auto"/>
            </w:pPr>
            <w:r>
              <w:rPr>
                <w:b w:val="0"/>
                <w:i w:val="0"/>
                <w:sz w:val="18"/>
              </w:rPr>
              <w:t>Hydrogen storage</w:t>
            </w:r>
          </w:p>
        </w:tc>
        <w:tc>
          <w:tcPr>
            <w:tcW w:type="dxa" w:w="2543"/>
            <w:vAlign w:val="center"/>
            <w:tcMar>
              <w:top w:w="90" w:type="dxa"/>
              <w:left w:w="90" w:type="dxa"/>
              <w:bottom w:w="90" w:type="dxa"/>
              <w:right w:w="90" w:type="dxa"/>
            </w:tcMar>
          </w:tcPr>
          <w:p>
            <w:pPr>
              <w:spacing w:after="40" w:line="276" w:lineRule="auto"/>
            </w:pPr>
            <w:r>
              <w:rPr>
                <w:b w:val="0"/>
                <w:i w:val="0"/>
                <w:sz w:val="18"/>
              </w:rPr>
              <w:t>600,000</w:t>
            </w:r>
          </w:p>
        </w:tc>
        <w:tc>
          <w:tcPr>
            <w:tcW w:type="dxa" w:w="2226"/>
            <w:vAlign w:val="center"/>
            <w:tcMar>
              <w:top w:w="90" w:type="dxa"/>
              <w:left w:w="90" w:type="dxa"/>
              <w:bottom w:w="90" w:type="dxa"/>
              <w:right w:w="90" w:type="dxa"/>
            </w:tcMar>
          </w:tcPr>
          <w:p>
            <w:pPr>
              <w:spacing w:after="40" w:line="276" w:lineRule="auto"/>
            </w:pPr>
            <w:r>
              <w:rPr>
                <w:b w:val="0"/>
                <w:i w:val="0"/>
                <w:sz w:val="18"/>
              </w:rPr>
              <w:t>0.01375</w:t>
            </w:r>
          </w:p>
        </w:tc>
        <w:tc>
          <w:tcPr>
            <w:tcW w:type="dxa" w:w="2604"/>
            <w:vAlign w:val="center"/>
            <w:tcMar>
              <w:top w:w="90" w:type="dxa"/>
              <w:left w:w="90" w:type="dxa"/>
              <w:bottom w:w="90" w:type="dxa"/>
              <w:right w:w="90" w:type="dxa"/>
            </w:tcMar>
          </w:tcPr>
          <w:p>
            <w:pPr>
              <w:spacing w:after="40" w:line="276" w:lineRule="auto"/>
            </w:pPr>
            <w:r>
              <w:rPr>
                <w:b w:val="0"/>
                <w:i w:val="0"/>
                <w:sz w:val="18"/>
              </w:rPr>
              <w:t>25 (default)</w:t>
            </w:r>
          </w:p>
        </w:tc>
      </w:tr>
    </w:tbl>
    <w:p>
      <w:pPr>
        <w:spacing w:after="20"/>
      </w:pPr>
    </w:p>
    <w:p>
      <w:r>
        <w:rPr>
          <w:b w:val="0"/>
          <w:i w:val="0"/>
        </w:rPr>
        <w:t xml:space="preserve">Storage energy losses follow separate charging and discharging efficiencies. Round-trip efficiency is </w:t>
      </w:r>
      <w:r>
        <w:rPr>
          <w:rFonts w:ascii="DejaVu Sans Mono" w:hAnsi="DejaVu Sans Mono"/>
          <w:b w:val="0"/>
          <w:i w:val="0"/>
          <w:sz w:val="17"/>
        </w:rPr>
        <w:t>charge_efficiency * discharge_efficiency</w:t>
      </w:r>
      <w:r>
        <w:rPr>
          <w:b w:val="0"/>
          <w:i w:val="0"/>
        </w:rPr>
        <w:t xml:space="preserve">, giving </w:t>
      </w:r>
      <w:r>
        <w:drawing>
          <wp:inline xmlns:a="http://schemas.openxmlformats.org/drawingml/2006/main" xmlns:pic="http://schemas.openxmlformats.org/drawingml/2006/picture">
            <wp:extent cx="1045133" cy="155565"/>
            <wp:docPr id="3" name="Picture 3"/>
            <wp:cNvGraphicFramePr>
              <a:graphicFrameLocks noChangeAspect="1"/>
            </wp:cNvGraphicFramePr>
            <a:graphic>
              <a:graphicData uri="http://schemas.openxmlformats.org/drawingml/2006/picture">
                <pic:pic>
                  <pic:nvPicPr>
                    <pic:cNvPr id="0" name="eq-003.png"/>
                    <pic:cNvPicPr/>
                  </pic:nvPicPr>
                  <pic:blipFill>
                    <a:blip r:embed="rId13"/>
                    <a:stretch>
                      <a:fillRect/>
                    </a:stretch>
                  </pic:blipFill>
                  <pic:spPr>
                    <a:xfrm>
                      <a:off x="0" y="0"/>
                      <a:ext cx="1045133" cy="155565"/>
                    </a:xfrm>
                    <a:prstGeom prst="rect"/>
                  </pic:spPr>
                </pic:pic>
              </a:graphicData>
            </a:graphic>
          </wp:inline>
        </w:drawing>
      </w:r>
      <w:r>
        <w:rPr>
          <w:b w:val="0"/>
          <w:i w:val="0"/>
        </w:rPr>
        <w:t xml:space="preserve"> for the 0.5C battery. The catalogue also supplies duration, economic lifetime and </w:t>
      </w:r>
      <w:r>
        <w:rPr>
          <w:rFonts w:ascii="DejaVu Sans Mono" w:hAnsi="DejaVu Sans Mono"/>
          <w:b w:val="0"/>
          <w:i w:val="0"/>
          <w:sz w:val="17"/>
        </w:rPr>
        <w:t>maximum_cycles</w:t>
      </w:r>
      <w:r>
        <w:rPr>
          <w:b w:val="0"/>
          <w:i w:val="0"/>
        </w:rPr>
        <w:t>. These values enter the storage-state and cost equations in Chapters 4 and 6; initial stored energy is specified with the operating algorithm in Chapter 4.</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75"/>
        <w:gridCol w:w="1574"/>
        <w:gridCol w:w="1550"/>
        <w:gridCol w:w="1621"/>
        <w:gridCol w:w="1776"/>
        <w:gridCol w:w="1797"/>
      </w:tblGrid>
      <w:tr>
        <w:trPr>
          <w:cantSplit/>
          <w:tblHeader w:val="true"/>
        </w:trPr>
        <w:tc>
          <w:tcPr>
            <w:tcW w:type="dxa" w:w="1475"/>
            <w:vAlign w:val="center"/>
            <w:tcMar>
              <w:top w:w="90" w:type="dxa"/>
              <w:left w:w="90" w:type="dxa"/>
              <w:bottom w:w="90" w:type="dxa"/>
              <w:right w:w="90" w:type="dxa"/>
            </w:tcMar>
            <w:shd w:fill="EEEEEE"/>
          </w:tcPr>
          <w:p>
            <w:pPr>
              <w:spacing w:after="40" w:line="276" w:lineRule="auto"/>
            </w:pPr>
            <w:r>
              <w:rPr>
                <w:b/>
                <w:i w:val="0"/>
                <w:sz w:val="18"/>
              </w:rPr>
              <w:t>Technology</w:t>
            </w:r>
          </w:p>
        </w:tc>
        <w:tc>
          <w:tcPr>
            <w:tcW w:type="dxa" w:w="1574"/>
            <w:vAlign w:val="center"/>
            <w:tcMar>
              <w:top w:w="90" w:type="dxa"/>
              <w:left w:w="90" w:type="dxa"/>
              <w:bottom w:w="90" w:type="dxa"/>
              <w:right w:w="90" w:type="dxa"/>
            </w:tcMar>
            <w:shd w:fill="EEEEEE"/>
          </w:tcPr>
          <w:p>
            <w:pPr>
              <w:spacing w:after="40" w:line="276" w:lineRule="auto"/>
            </w:pPr>
            <w:r>
              <w:rPr>
                <w:b/>
                <w:i w:val="0"/>
                <w:sz w:val="18"/>
              </w:rPr>
              <w:t>Catalogue duration h</w:t>
            </w:r>
          </w:p>
        </w:tc>
        <w:tc>
          <w:tcPr>
            <w:tcW w:type="dxa" w:w="1550"/>
            <w:vAlign w:val="center"/>
            <w:tcMar>
              <w:top w:w="90" w:type="dxa"/>
              <w:left w:w="90" w:type="dxa"/>
              <w:bottom w:w="90" w:type="dxa"/>
              <w:right w:w="90" w:type="dxa"/>
            </w:tcMar>
            <w:shd w:fill="EEEEEE"/>
          </w:tcPr>
          <w:p>
            <w:pPr>
              <w:spacing w:after="40" w:line="276" w:lineRule="auto"/>
            </w:pPr>
            <w:r>
              <w:rPr>
                <w:b/>
                <w:i w:val="0"/>
                <w:sz w:val="18"/>
              </w:rPr>
              <w:t>Charging efficiency</w:t>
            </w:r>
          </w:p>
        </w:tc>
        <w:tc>
          <w:tcPr>
            <w:tcW w:type="dxa" w:w="1621"/>
            <w:vAlign w:val="center"/>
            <w:tcMar>
              <w:top w:w="90" w:type="dxa"/>
              <w:left w:w="90" w:type="dxa"/>
              <w:bottom w:w="90" w:type="dxa"/>
              <w:right w:w="90" w:type="dxa"/>
            </w:tcMar>
            <w:shd w:fill="EEEEEE"/>
          </w:tcPr>
          <w:p>
            <w:pPr>
              <w:spacing w:after="40" w:line="276" w:lineRule="auto"/>
            </w:pPr>
            <w:r>
              <w:rPr>
                <w:b/>
                <w:i w:val="0"/>
                <w:sz w:val="18"/>
              </w:rPr>
              <w:t>Discharging efficiency</w:t>
            </w:r>
          </w:p>
        </w:tc>
        <w:tc>
          <w:tcPr>
            <w:tcW w:type="dxa" w:w="1776"/>
            <w:vAlign w:val="center"/>
            <w:tcMar>
              <w:top w:w="90" w:type="dxa"/>
              <w:left w:w="90" w:type="dxa"/>
              <w:bottom w:w="90" w:type="dxa"/>
              <w:right w:w="90" w:type="dxa"/>
            </w:tcMar>
            <w:shd w:fill="EEEEEE"/>
          </w:tcPr>
          <w:p>
            <w:pPr>
              <w:spacing w:after="40" w:line="276" w:lineRule="auto"/>
            </w:pPr>
            <w:r>
              <w:rPr>
                <w:b/>
                <w:i w:val="0"/>
                <w:sz w:val="18"/>
              </w:rPr>
              <w:t>Catalogue economic life years</w:t>
            </w:r>
          </w:p>
        </w:tc>
        <w:tc>
          <w:tcPr>
            <w:tcW w:type="dxa" w:w="1797"/>
            <w:vAlign w:val="center"/>
            <w:tcMar>
              <w:top w:w="90" w:type="dxa"/>
              <w:left w:w="90" w:type="dxa"/>
              <w:bottom w:w="90" w:type="dxa"/>
              <w:right w:w="90" w:type="dxa"/>
            </w:tcMar>
            <w:shd w:fill="EEEEEE"/>
          </w:tcPr>
          <w:p>
            <w:pPr>
              <w:spacing w:after="40" w:line="276" w:lineRule="auto"/>
            </w:pPr>
            <w:r>
              <w:rPr>
                <w:b/>
                <w:i w:val="0"/>
                <w:sz w:val="18"/>
              </w:rPr>
              <w:t xml:space="preserve">Cycle parameter </w:t>
            </w:r>
            <w:r>
              <w:rPr>
                <w:rFonts w:ascii="DejaVu Sans Mono" w:hAnsi="DejaVu Sans Mono"/>
                <w:b/>
                <w:i w:val="0"/>
                <w:sz w:val="18"/>
              </w:rPr>
              <w:t>maximum_cycles</w:t>
            </w:r>
          </w:p>
        </w:tc>
      </w:tr>
      <w:tr>
        <w:trPr>
          <w:cantSplit/>
        </w:trPr>
        <w:tc>
          <w:tcPr>
            <w:tcW w:type="dxa" w:w="1475"/>
            <w:vAlign w:val="center"/>
            <w:tcMar>
              <w:top w:w="90" w:type="dxa"/>
              <w:left w:w="90" w:type="dxa"/>
              <w:bottom w:w="90" w:type="dxa"/>
              <w:right w:w="90" w:type="dxa"/>
            </w:tcMar>
          </w:tcPr>
          <w:p>
            <w:pPr>
              <w:spacing w:after="40" w:line="276" w:lineRule="auto"/>
            </w:pPr>
            <w:r>
              <w:rPr>
                <w:b w:val="0"/>
                <w:i w:val="0"/>
                <w:sz w:val="18"/>
              </w:rPr>
              <w:t>Pumped hydro</w:t>
            </w:r>
          </w:p>
        </w:tc>
        <w:tc>
          <w:tcPr>
            <w:tcW w:type="dxa" w:w="1574"/>
            <w:vAlign w:val="center"/>
            <w:tcMar>
              <w:top w:w="90" w:type="dxa"/>
              <w:left w:w="90" w:type="dxa"/>
              <w:bottom w:w="90" w:type="dxa"/>
              <w:right w:w="90" w:type="dxa"/>
            </w:tcMar>
          </w:tcPr>
          <w:p>
            <w:pPr>
              <w:spacing w:after="40" w:line="276" w:lineRule="auto"/>
            </w:pPr>
            <w:r>
              <w:rPr>
                <w:b w:val="0"/>
                <w:i w:val="0"/>
                <w:sz w:val="18"/>
              </w:rPr>
              <w:t>4</w:t>
            </w:r>
          </w:p>
        </w:tc>
        <w:tc>
          <w:tcPr>
            <w:tcW w:type="dxa" w:w="1550"/>
            <w:vAlign w:val="center"/>
            <w:tcMar>
              <w:top w:w="90" w:type="dxa"/>
              <w:left w:w="90" w:type="dxa"/>
              <w:bottom w:w="90" w:type="dxa"/>
              <w:right w:w="90" w:type="dxa"/>
            </w:tcMar>
          </w:tcPr>
          <w:p>
            <w:pPr>
              <w:spacing w:after="40" w:line="276" w:lineRule="auto"/>
            </w:pPr>
            <w:r>
              <w:rPr>
                <w:b w:val="0"/>
                <w:i w:val="0"/>
                <w:sz w:val="18"/>
              </w:rPr>
              <w:t>0.87</w:t>
            </w:r>
          </w:p>
        </w:tc>
        <w:tc>
          <w:tcPr>
            <w:tcW w:type="dxa" w:w="1621"/>
            <w:vAlign w:val="center"/>
            <w:tcMar>
              <w:top w:w="90" w:type="dxa"/>
              <w:left w:w="90" w:type="dxa"/>
              <w:bottom w:w="90" w:type="dxa"/>
              <w:right w:w="90" w:type="dxa"/>
            </w:tcMar>
          </w:tcPr>
          <w:p>
            <w:pPr>
              <w:spacing w:after="40" w:line="276" w:lineRule="auto"/>
            </w:pPr>
            <w:r>
              <w:rPr>
                <w:b w:val="0"/>
                <w:i w:val="0"/>
                <w:sz w:val="18"/>
              </w:rPr>
              <w:t>0.87</w:t>
            </w:r>
          </w:p>
        </w:tc>
        <w:tc>
          <w:tcPr>
            <w:tcW w:type="dxa" w:w="1776"/>
            <w:vAlign w:val="center"/>
            <w:tcMar>
              <w:top w:w="90" w:type="dxa"/>
              <w:left w:w="90" w:type="dxa"/>
              <w:bottom w:w="90" w:type="dxa"/>
              <w:right w:w="90" w:type="dxa"/>
            </w:tcMar>
          </w:tcPr>
          <w:p>
            <w:pPr>
              <w:spacing w:after="40" w:line="276" w:lineRule="auto"/>
            </w:pPr>
            <w:r>
              <w:rPr>
                <w:b w:val="0"/>
                <w:i w:val="0"/>
                <w:sz w:val="18"/>
              </w:rPr>
              <w:t>30</w:t>
            </w:r>
          </w:p>
        </w:tc>
        <w:tc>
          <w:tcPr>
            <w:tcW w:type="dxa" w:w="1797"/>
            <w:vAlign w:val="center"/>
            <w:tcMar>
              <w:top w:w="90" w:type="dxa"/>
              <w:left w:w="90" w:type="dxa"/>
              <w:bottom w:w="90" w:type="dxa"/>
              <w:right w:w="90" w:type="dxa"/>
            </w:tcMar>
          </w:tcPr>
          <w:p>
            <w:pPr>
              <w:spacing w:after="40" w:line="276" w:lineRule="auto"/>
            </w:pPr>
            <w:r>
              <w:rPr>
                <w:b w:val="0"/>
                <w:i w:val="0"/>
                <w:sz w:val="18"/>
              </w:rPr>
              <w:t>1,000,000</w:t>
            </w:r>
          </w:p>
        </w:tc>
      </w:tr>
      <w:tr>
        <w:trPr>
          <w:cantSplit/>
        </w:trPr>
        <w:tc>
          <w:tcPr>
            <w:tcW w:type="dxa" w:w="1475"/>
            <w:vAlign w:val="center"/>
            <w:tcMar>
              <w:top w:w="90" w:type="dxa"/>
              <w:left w:w="90" w:type="dxa"/>
              <w:bottom w:w="90" w:type="dxa"/>
              <w:right w:w="90" w:type="dxa"/>
            </w:tcMar>
          </w:tcPr>
          <w:p>
            <w:pPr>
              <w:spacing w:after="40" w:line="276" w:lineRule="auto"/>
            </w:pPr>
            <w:r>
              <w:rPr>
                <w:b w:val="0"/>
                <w:i w:val="0"/>
                <w:sz w:val="18"/>
              </w:rPr>
              <w:t>1C battery</w:t>
            </w:r>
          </w:p>
        </w:tc>
        <w:tc>
          <w:tcPr>
            <w:tcW w:type="dxa" w:w="1574"/>
            <w:vAlign w:val="center"/>
            <w:tcMar>
              <w:top w:w="90" w:type="dxa"/>
              <w:left w:w="90" w:type="dxa"/>
              <w:bottom w:w="90" w:type="dxa"/>
              <w:right w:w="90" w:type="dxa"/>
            </w:tcMar>
          </w:tcPr>
          <w:p>
            <w:pPr>
              <w:spacing w:after="40" w:line="276" w:lineRule="auto"/>
            </w:pPr>
            <w:r>
              <w:rPr>
                <w:b w:val="0"/>
                <w:i w:val="0"/>
                <w:sz w:val="18"/>
              </w:rPr>
              <w:t>1</w:t>
            </w:r>
          </w:p>
        </w:tc>
        <w:tc>
          <w:tcPr>
            <w:tcW w:type="dxa" w:w="1550"/>
            <w:vAlign w:val="center"/>
            <w:tcMar>
              <w:top w:w="90" w:type="dxa"/>
              <w:left w:w="90" w:type="dxa"/>
              <w:bottom w:w="90" w:type="dxa"/>
              <w:right w:w="90" w:type="dxa"/>
            </w:tcMar>
          </w:tcPr>
          <w:p>
            <w:pPr>
              <w:spacing w:after="40" w:line="276" w:lineRule="auto"/>
            </w:pPr>
            <w:r>
              <w:rPr>
                <w:b w:val="0"/>
                <w:i w:val="0"/>
                <w:sz w:val="18"/>
              </w:rPr>
              <w:t>0.81</w:t>
            </w:r>
          </w:p>
        </w:tc>
        <w:tc>
          <w:tcPr>
            <w:tcW w:type="dxa" w:w="1621"/>
            <w:vAlign w:val="center"/>
            <w:tcMar>
              <w:top w:w="90" w:type="dxa"/>
              <w:left w:w="90" w:type="dxa"/>
              <w:bottom w:w="90" w:type="dxa"/>
              <w:right w:w="90" w:type="dxa"/>
            </w:tcMar>
          </w:tcPr>
          <w:p>
            <w:pPr>
              <w:spacing w:after="40" w:line="276" w:lineRule="auto"/>
            </w:pPr>
            <w:r>
              <w:rPr>
                <w:b w:val="0"/>
                <w:i w:val="0"/>
                <w:sz w:val="18"/>
              </w:rPr>
              <w:t>0.81</w:t>
            </w:r>
          </w:p>
        </w:tc>
        <w:tc>
          <w:tcPr>
            <w:tcW w:type="dxa" w:w="1776"/>
            <w:vAlign w:val="center"/>
            <w:tcMar>
              <w:top w:w="90" w:type="dxa"/>
              <w:left w:w="90" w:type="dxa"/>
              <w:bottom w:w="90" w:type="dxa"/>
              <w:right w:w="90" w:type="dxa"/>
            </w:tcMar>
          </w:tcPr>
          <w:p>
            <w:pPr>
              <w:spacing w:after="40" w:line="276" w:lineRule="auto"/>
            </w:pPr>
            <w:r>
              <w:rPr>
                <w:b w:val="0"/>
                <w:i w:val="0"/>
                <w:sz w:val="18"/>
              </w:rPr>
              <w:t>15</w:t>
            </w:r>
          </w:p>
        </w:tc>
        <w:tc>
          <w:tcPr>
            <w:tcW w:type="dxa" w:w="1797"/>
            <w:vAlign w:val="center"/>
            <w:tcMar>
              <w:top w:w="90" w:type="dxa"/>
              <w:left w:w="90" w:type="dxa"/>
              <w:bottom w:w="90" w:type="dxa"/>
              <w:right w:w="90" w:type="dxa"/>
            </w:tcMar>
          </w:tcPr>
          <w:p>
            <w:pPr>
              <w:spacing w:after="40" w:line="276" w:lineRule="auto"/>
            </w:pPr>
            <w:r>
              <w:rPr>
                <w:b w:val="0"/>
                <w:i w:val="0"/>
                <w:sz w:val="18"/>
              </w:rPr>
              <w:t>3,000</w:t>
            </w:r>
          </w:p>
        </w:tc>
      </w:tr>
      <w:tr>
        <w:trPr>
          <w:cantSplit/>
        </w:trPr>
        <w:tc>
          <w:tcPr>
            <w:tcW w:type="dxa" w:w="1475"/>
            <w:vAlign w:val="center"/>
            <w:tcMar>
              <w:top w:w="90" w:type="dxa"/>
              <w:left w:w="90" w:type="dxa"/>
              <w:bottom w:w="90" w:type="dxa"/>
              <w:right w:w="90" w:type="dxa"/>
            </w:tcMar>
          </w:tcPr>
          <w:p>
            <w:pPr>
              <w:spacing w:after="40" w:line="276" w:lineRule="auto"/>
            </w:pPr>
            <w:r>
              <w:rPr>
                <w:b w:val="0"/>
                <w:i w:val="0"/>
                <w:sz w:val="18"/>
              </w:rPr>
              <w:t>0.5C battery</w:t>
            </w:r>
          </w:p>
        </w:tc>
        <w:tc>
          <w:tcPr>
            <w:tcW w:type="dxa" w:w="1574"/>
            <w:vAlign w:val="center"/>
            <w:tcMar>
              <w:top w:w="90" w:type="dxa"/>
              <w:left w:w="90" w:type="dxa"/>
              <w:bottom w:w="90" w:type="dxa"/>
              <w:right w:w="90" w:type="dxa"/>
            </w:tcMar>
          </w:tcPr>
          <w:p>
            <w:pPr>
              <w:spacing w:after="40" w:line="276" w:lineRule="auto"/>
            </w:pPr>
            <w:r>
              <w:rPr>
                <w:b w:val="0"/>
                <w:i w:val="0"/>
                <w:sz w:val="18"/>
              </w:rPr>
              <w:t>2</w:t>
            </w:r>
          </w:p>
        </w:tc>
        <w:tc>
          <w:tcPr>
            <w:tcW w:type="dxa" w:w="1550"/>
            <w:vAlign w:val="center"/>
            <w:tcMar>
              <w:top w:w="90" w:type="dxa"/>
              <w:left w:w="90" w:type="dxa"/>
              <w:bottom w:w="90" w:type="dxa"/>
              <w:right w:w="90" w:type="dxa"/>
            </w:tcMar>
          </w:tcPr>
          <w:p>
            <w:pPr>
              <w:spacing w:after="40" w:line="276" w:lineRule="auto"/>
            </w:pPr>
            <w:r>
              <w:rPr>
                <w:b w:val="0"/>
                <w:i w:val="0"/>
                <w:sz w:val="18"/>
              </w:rPr>
              <w:t>0.98</w:t>
            </w:r>
          </w:p>
        </w:tc>
        <w:tc>
          <w:tcPr>
            <w:tcW w:type="dxa" w:w="1621"/>
            <w:vAlign w:val="center"/>
            <w:tcMar>
              <w:top w:w="90" w:type="dxa"/>
              <w:left w:w="90" w:type="dxa"/>
              <w:bottom w:w="90" w:type="dxa"/>
              <w:right w:w="90" w:type="dxa"/>
            </w:tcMar>
          </w:tcPr>
          <w:p>
            <w:pPr>
              <w:spacing w:after="40" w:line="276" w:lineRule="auto"/>
            </w:pPr>
            <w:r>
              <w:rPr>
                <w:b w:val="0"/>
                <w:i w:val="0"/>
                <w:sz w:val="18"/>
              </w:rPr>
              <w:t>0.98</w:t>
            </w:r>
          </w:p>
        </w:tc>
        <w:tc>
          <w:tcPr>
            <w:tcW w:type="dxa" w:w="1776"/>
            <w:vAlign w:val="center"/>
            <w:tcMar>
              <w:top w:w="90" w:type="dxa"/>
              <w:left w:w="90" w:type="dxa"/>
              <w:bottom w:w="90" w:type="dxa"/>
              <w:right w:w="90" w:type="dxa"/>
            </w:tcMar>
          </w:tcPr>
          <w:p>
            <w:pPr>
              <w:spacing w:after="40" w:line="276" w:lineRule="auto"/>
            </w:pPr>
            <w:r>
              <w:rPr>
                <w:b w:val="0"/>
                <w:i w:val="0"/>
                <w:sz w:val="18"/>
              </w:rPr>
              <w:t>15</w:t>
            </w:r>
          </w:p>
        </w:tc>
        <w:tc>
          <w:tcPr>
            <w:tcW w:type="dxa" w:w="1797"/>
            <w:vAlign w:val="center"/>
            <w:tcMar>
              <w:top w:w="90" w:type="dxa"/>
              <w:left w:w="90" w:type="dxa"/>
              <w:bottom w:w="90" w:type="dxa"/>
              <w:right w:w="90" w:type="dxa"/>
            </w:tcMar>
          </w:tcPr>
          <w:p>
            <w:pPr>
              <w:spacing w:after="40" w:line="276" w:lineRule="auto"/>
            </w:pPr>
            <w:r>
              <w:rPr>
                <w:b w:val="0"/>
                <w:i w:val="0"/>
                <w:sz w:val="18"/>
              </w:rPr>
              <w:t>5,000</w:t>
            </w:r>
          </w:p>
        </w:tc>
      </w:tr>
      <w:tr>
        <w:trPr>
          <w:cantSplit/>
        </w:trPr>
        <w:tc>
          <w:tcPr>
            <w:tcW w:type="dxa" w:w="1475"/>
            <w:vAlign w:val="center"/>
            <w:tcMar>
              <w:top w:w="90" w:type="dxa"/>
              <w:left w:w="90" w:type="dxa"/>
              <w:bottom w:w="90" w:type="dxa"/>
              <w:right w:w="90" w:type="dxa"/>
            </w:tcMar>
          </w:tcPr>
          <w:p>
            <w:pPr>
              <w:spacing w:after="40" w:line="276" w:lineRule="auto"/>
            </w:pPr>
            <w:r>
              <w:rPr>
                <w:b w:val="0"/>
                <w:i w:val="0"/>
                <w:sz w:val="18"/>
              </w:rPr>
              <w:t>0.25C battery</w:t>
            </w:r>
          </w:p>
        </w:tc>
        <w:tc>
          <w:tcPr>
            <w:tcW w:type="dxa" w:w="1574"/>
            <w:vAlign w:val="center"/>
            <w:tcMar>
              <w:top w:w="90" w:type="dxa"/>
              <w:left w:w="90" w:type="dxa"/>
              <w:bottom w:w="90" w:type="dxa"/>
              <w:right w:w="90" w:type="dxa"/>
            </w:tcMar>
          </w:tcPr>
          <w:p>
            <w:pPr>
              <w:spacing w:after="40" w:line="276" w:lineRule="auto"/>
            </w:pPr>
            <w:r>
              <w:rPr>
                <w:b w:val="0"/>
                <w:i w:val="0"/>
                <w:sz w:val="18"/>
              </w:rPr>
              <w:t>4</w:t>
            </w:r>
          </w:p>
        </w:tc>
        <w:tc>
          <w:tcPr>
            <w:tcW w:type="dxa" w:w="1550"/>
            <w:vAlign w:val="center"/>
            <w:tcMar>
              <w:top w:w="90" w:type="dxa"/>
              <w:left w:w="90" w:type="dxa"/>
              <w:bottom w:w="90" w:type="dxa"/>
              <w:right w:w="90" w:type="dxa"/>
            </w:tcMar>
          </w:tcPr>
          <w:p>
            <w:pPr>
              <w:spacing w:after="40" w:line="276" w:lineRule="auto"/>
            </w:pPr>
            <w:r>
              <w:rPr>
                <w:b w:val="0"/>
                <w:i w:val="0"/>
                <w:sz w:val="18"/>
              </w:rPr>
              <w:t>0.81</w:t>
            </w:r>
          </w:p>
        </w:tc>
        <w:tc>
          <w:tcPr>
            <w:tcW w:type="dxa" w:w="1621"/>
            <w:vAlign w:val="center"/>
            <w:tcMar>
              <w:top w:w="90" w:type="dxa"/>
              <w:left w:w="90" w:type="dxa"/>
              <w:bottom w:w="90" w:type="dxa"/>
              <w:right w:w="90" w:type="dxa"/>
            </w:tcMar>
          </w:tcPr>
          <w:p>
            <w:pPr>
              <w:spacing w:after="40" w:line="276" w:lineRule="auto"/>
            </w:pPr>
            <w:r>
              <w:rPr>
                <w:b w:val="0"/>
                <w:i w:val="0"/>
                <w:sz w:val="18"/>
              </w:rPr>
              <w:t>0.81</w:t>
            </w:r>
          </w:p>
        </w:tc>
        <w:tc>
          <w:tcPr>
            <w:tcW w:type="dxa" w:w="1776"/>
            <w:vAlign w:val="center"/>
            <w:tcMar>
              <w:top w:w="90" w:type="dxa"/>
              <w:left w:w="90" w:type="dxa"/>
              <w:bottom w:w="90" w:type="dxa"/>
              <w:right w:w="90" w:type="dxa"/>
            </w:tcMar>
          </w:tcPr>
          <w:p>
            <w:pPr>
              <w:spacing w:after="40" w:line="276" w:lineRule="auto"/>
            </w:pPr>
            <w:r>
              <w:rPr>
                <w:b w:val="0"/>
                <w:i w:val="0"/>
                <w:sz w:val="18"/>
              </w:rPr>
              <w:t>15</w:t>
            </w:r>
          </w:p>
        </w:tc>
        <w:tc>
          <w:tcPr>
            <w:tcW w:type="dxa" w:w="1797"/>
            <w:vAlign w:val="center"/>
            <w:tcMar>
              <w:top w:w="90" w:type="dxa"/>
              <w:left w:w="90" w:type="dxa"/>
              <w:bottom w:w="90" w:type="dxa"/>
              <w:right w:w="90" w:type="dxa"/>
            </w:tcMar>
          </w:tcPr>
          <w:p>
            <w:pPr>
              <w:spacing w:after="40" w:line="276" w:lineRule="auto"/>
            </w:pPr>
            <w:r>
              <w:rPr>
                <w:b w:val="0"/>
                <w:i w:val="0"/>
                <w:sz w:val="18"/>
              </w:rPr>
              <w:t>8,000</w:t>
            </w:r>
          </w:p>
        </w:tc>
      </w:tr>
      <w:tr>
        <w:trPr>
          <w:cantSplit/>
        </w:trPr>
        <w:tc>
          <w:tcPr>
            <w:tcW w:type="dxa" w:w="1475"/>
            <w:vAlign w:val="center"/>
            <w:tcMar>
              <w:top w:w="90" w:type="dxa"/>
              <w:left w:w="90" w:type="dxa"/>
              <w:bottom w:w="90" w:type="dxa"/>
              <w:right w:w="90" w:type="dxa"/>
            </w:tcMar>
          </w:tcPr>
          <w:p>
            <w:pPr>
              <w:spacing w:after="40" w:line="276" w:lineRule="auto"/>
            </w:pPr>
            <w:r>
              <w:rPr>
                <w:b w:val="0"/>
                <w:i w:val="0"/>
                <w:sz w:val="18"/>
              </w:rPr>
              <w:t>Hydrogen storage</w:t>
            </w:r>
          </w:p>
        </w:tc>
        <w:tc>
          <w:tcPr>
            <w:tcW w:type="dxa" w:w="1574"/>
            <w:vAlign w:val="center"/>
            <w:tcMar>
              <w:top w:w="90" w:type="dxa"/>
              <w:left w:w="90" w:type="dxa"/>
              <w:bottom w:w="90" w:type="dxa"/>
              <w:right w:w="90" w:type="dxa"/>
            </w:tcMar>
          </w:tcPr>
          <w:p>
            <w:pPr>
              <w:spacing w:after="40" w:line="276" w:lineRule="auto"/>
            </w:pPr>
            <w:r>
              <w:rPr>
                <w:b w:val="0"/>
                <w:i w:val="0"/>
                <w:sz w:val="18"/>
              </w:rPr>
              <w:t>250</w:t>
            </w:r>
          </w:p>
        </w:tc>
        <w:tc>
          <w:tcPr>
            <w:tcW w:type="dxa" w:w="1550"/>
            <w:vAlign w:val="center"/>
            <w:tcMar>
              <w:top w:w="90" w:type="dxa"/>
              <w:left w:w="90" w:type="dxa"/>
              <w:bottom w:w="90" w:type="dxa"/>
              <w:right w:w="90" w:type="dxa"/>
            </w:tcMar>
          </w:tcPr>
          <w:p>
            <w:pPr>
              <w:spacing w:after="40" w:line="276" w:lineRule="auto"/>
            </w:pPr>
            <w:r>
              <w:rPr>
                <w:b w:val="0"/>
                <w:i w:val="0"/>
                <w:sz w:val="18"/>
              </w:rPr>
              <w:t>0.57</w:t>
            </w:r>
          </w:p>
        </w:tc>
        <w:tc>
          <w:tcPr>
            <w:tcW w:type="dxa" w:w="1621"/>
            <w:vAlign w:val="center"/>
            <w:tcMar>
              <w:top w:w="90" w:type="dxa"/>
              <w:left w:w="90" w:type="dxa"/>
              <w:bottom w:w="90" w:type="dxa"/>
              <w:right w:w="90" w:type="dxa"/>
            </w:tcMar>
          </w:tcPr>
          <w:p>
            <w:pPr>
              <w:spacing w:after="40" w:line="276" w:lineRule="auto"/>
            </w:pPr>
            <w:r>
              <w:rPr>
                <w:b w:val="0"/>
                <w:i w:val="0"/>
                <w:sz w:val="18"/>
              </w:rPr>
              <w:t>0.57</w:t>
            </w:r>
          </w:p>
        </w:tc>
        <w:tc>
          <w:tcPr>
            <w:tcW w:type="dxa" w:w="1776"/>
            <w:vAlign w:val="center"/>
            <w:tcMar>
              <w:top w:w="90" w:type="dxa"/>
              <w:left w:w="90" w:type="dxa"/>
              <w:bottom w:w="90" w:type="dxa"/>
              <w:right w:w="90" w:type="dxa"/>
            </w:tcMar>
          </w:tcPr>
          <w:p>
            <w:pPr>
              <w:spacing w:after="40" w:line="276" w:lineRule="auto"/>
            </w:pPr>
            <w:r>
              <w:rPr>
                <w:b w:val="0"/>
                <w:i w:val="0"/>
                <w:sz w:val="18"/>
              </w:rPr>
              <w:t>10</w:t>
            </w:r>
          </w:p>
        </w:tc>
        <w:tc>
          <w:tcPr>
            <w:tcW w:type="dxa" w:w="1797"/>
            <w:vAlign w:val="center"/>
            <w:tcMar>
              <w:top w:w="90" w:type="dxa"/>
              <w:left w:w="90" w:type="dxa"/>
              <w:bottom w:w="90" w:type="dxa"/>
              <w:right w:w="90" w:type="dxa"/>
            </w:tcMar>
          </w:tcPr>
          <w:p>
            <w:pPr>
              <w:spacing w:after="40" w:line="276" w:lineRule="auto"/>
            </w:pPr>
            <w:r>
              <w:rPr>
                <w:b w:val="0"/>
                <w:i w:val="0"/>
                <w:sz w:val="18"/>
              </w:rPr>
              <w:t>1,000</w:t>
            </w:r>
          </w:p>
        </w:tc>
      </w:tr>
    </w:tbl>
    <w:p>
      <w:pPr>
        <w:spacing w:after="20"/>
      </w:pPr>
    </w:p>
    <w:p>
      <w:r>
        <w:rPr>
          <w:b w:val="0"/>
          <w:i w:val="0"/>
        </w:rPr>
        <w:t xml:space="preserve">Source price years remain attached to the numerical inputs. Storage costs and policy budgets are expressed in 2025 GBP; BEIS capital-cost inputs retain 2020 values, the European electricity samples retain their 2022 or 2021 values after currency conversion, and nuclear-policy entries carry their declared 2015 or 2024 price years. Restart costs use the conversion in Chapter 5. The currency reader converts euros to pounds using </w:t>
      </w:r>
      <w:r>
        <w:rPr>
          <w:rFonts w:ascii="DejaVu Sans Mono" w:hAnsi="DejaVu Sans Mono"/>
          <w:b w:val="0"/>
          <w:i w:val="0"/>
          <w:sz w:val="17"/>
        </w:rPr>
        <w:t>eur_per_gbp</w:t>
      </w:r>
      <w:r>
        <w:rPr>
          <w:b w:val="0"/>
          <w:i w:val="0"/>
        </w:rPr>
        <w:t>.</w:t>
      </w:r>
    </w:p>
    <w:p>
      <w:r>
        <w:rPr>
          <w:b w:val="0"/>
          <w:i w:val="0"/>
        </w:rPr>
        <w:t xml:space="preserve">Annual policy spending uses the schedules in </w:t>
      </w:r>
      <w:r>
        <w:rPr>
          <w:rFonts w:ascii="DejaVu Sans Mono" w:hAnsi="DejaVu Sans Mono"/>
          <w:b w:val="0"/>
          <w:i w:val="0"/>
          <w:sz w:val="17"/>
        </w:rPr>
        <w:t>mechansim cost.xlsx</w:t>
      </w:r>
      <w:r>
        <w:rPr>
          <w:b w:val="0"/>
          <w:i w:val="0"/>
        </w:rPr>
        <w:t>. The workbook combines NESO Capacity Market and balancing-cost series, Ofgem RO/FIT/REGO material and LCCC CfD data. Chapter 6 specifies how these inputs enter annual accounts.</w:t>
      </w:r>
    </w:p>
    <w:p>
      <w:pPr>
        <w:pStyle w:val="Heading2"/>
      </w:pPr>
      <w:r>
        <w:rPr>
          <w:b w:val="0"/>
          <w:i w:val="0"/>
        </w:rPr>
        <w:t>External markets and zonal demand</w:t>
      </w:r>
    </w:p>
    <w:p>
      <w:r>
        <w:rPr>
          <w:b w:val="0"/>
          <w:i w:val="0"/>
        </w:rPr>
        <w:t xml:space="preserve">External electricity exchange is limited by a time-varying envelope and priced by the corresponding foreign market. R029 supplies 17,520-row files for France, Belgium, the Netherlands, Norway and Ireland. Each file provides </w:t>
      </w:r>
      <w:r>
        <w:rPr>
          <w:rFonts w:ascii="DejaVu Sans Mono" w:hAnsi="DejaVu Sans Mono"/>
          <w:b w:val="0"/>
          <w:i w:val="0"/>
          <w:sz w:val="17"/>
        </w:rPr>
        <w:t>flow_mw</w:t>
      </w:r>
      <w:r>
        <w:rPr>
          <w:b w:val="0"/>
          <w:i w:val="0"/>
        </w:rPr>
        <w:t xml:space="preserve"> and </w:t>
      </w:r>
      <w:r>
        <w:rPr>
          <w:rFonts w:ascii="DejaVu Sans Mono" w:hAnsi="DejaVu Sans Mono"/>
          <w:b w:val="0"/>
          <w:i w:val="0"/>
          <w:sz w:val="17"/>
        </w:rPr>
        <w:t>price_gbp_per_mwh</w:t>
      </w:r>
      <w:r>
        <w:rPr>
          <w:b w:val="0"/>
          <w:i w:val="0"/>
        </w:rPr>
        <w:t xml:space="preserve"> alongside its period and source timestamps. NESO line names associate </w:t>
      </w:r>
      <w:r>
        <w:rPr>
          <w:rFonts w:ascii="DejaVu Sans Mono" w:hAnsi="DejaVu Sans Mono"/>
          <w:b w:val="0"/>
          <w:i w:val="0"/>
          <w:sz w:val="17"/>
        </w:rPr>
        <w:t>NEMO_FLOW</w:t>
      </w:r>
      <w:r>
        <w:rPr>
          <w:b w:val="0"/>
          <w:i w:val="0"/>
        </w:rPr>
        <w:t xml:space="preserve"> with Belgium, </w:t>
      </w:r>
      <w:r>
        <w:rPr>
          <w:rFonts w:ascii="DejaVu Sans Mono" w:hAnsi="DejaVu Sans Mono"/>
          <w:b w:val="0"/>
          <w:i w:val="0"/>
          <w:sz w:val="17"/>
        </w:rPr>
        <w:t>BRITNED_FLOW</w:t>
      </w:r>
      <w:r>
        <w:rPr>
          <w:b w:val="0"/>
          <w:i w:val="0"/>
        </w:rPr>
        <w:t xml:space="preserve"> with the Netherlands and </w:t>
      </w:r>
      <w:r>
        <w:rPr>
          <w:rFonts w:ascii="DejaVu Sans Mono" w:hAnsi="DejaVu Sans Mono"/>
          <w:b w:val="0"/>
          <w:i w:val="0"/>
          <w:sz w:val="17"/>
        </w:rPr>
        <w:t>NSL_FLOW</w:t>
      </w:r>
      <w:r>
        <w:rPr>
          <w:b w:val="0"/>
          <w:i w:val="0"/>
        </w:rPr>
        <w:t xml:space="preserve"> with Norway.</w:t>
      </w:r>
    </w:p>
    <w:p>
      <w:r>
        <w:rPr>
          <w:b w:val="0"/>
          <w:i w:val="0"/>
        </w:rPr>
        <w:t xml:space="preserve">Foreign prices use Ember's compilation of ENTSO-E day-ahead prices. France, Belgium, the Netherlands and Norway use 2022; Ireland uses 2021. An hourly EUR/MWh value is divided by 1.1 EUR/GBP and assigned to both receiving half-hours. Negative prices retain their sign. R029 stores the converted GBP/MWh values; a GBP1 file such as </w:t>
      </w:r>
      <w:r>
        <w:rPr>
          <w:rFonts w:ascii="DejaVu Sans Mono" w:hAnsi="DejaVu Sans Mono"/>
          <w:b w:val="0"/>
          <w:i w:val="0"/>
          <w:sz w:val="17"/>
        </w:rPr>
        <w:t>Belgium_price.csv</w:t>
      </w:r>
      <w:r>
        <w:rPr>
          <w:b w:val="0"/>
          <w:i w:val="0"/>
        </w:rPr>
        <w:t xml:space="preserve"> supplies </w:t>
      </w:r>
      <w:r>
        <w:rPr>
          <w:rFonts w:ascii="DejaVu Sans Mono" w:hAnsi="DejaVu Sans Mono"/>
          <w:b w:val="0"/>
          <w:i w:val="0"/>
          <w:sz w:val="17"/>
        </w:rPr>
        <w:t>Price (EUR/MWhe)</w:t>
      </w:r>
      <w:r>
        <w:rPr>
          <w:b w:val="0"/>
          <w:i w:val="0"/>
        </w:rPr>
        <w:t xml:space="preserve"> and receives the same conversion through </w:t>
      </w:r>
      <w:r>
        <w:rPr>
          <w:rFonts w:ascii="DejaVu Sans Mono" w:hAnsi="DejaVu Sans Mono"/>
          <w:b w:val="0"/>
          <w:i w:val="0"/>
          <w:sz w:val="17"/>
        </w:rPr>
        <w:t>read_series</w:t>
      </w:r>
      <w:r>
        <w:rPr>
          <w:b w:val="0"/>
          <w:i w:val="0"/>
        </w:rPr>
        <w:t>.</w:t>
      </w:r>
    </w:p>
    <w:p>
      <w:pPr>
        <w:keepNext/>
      </w:pPr>
      <w:r>
        <w:rPr>
          <w:b w:val="0"/>
          <w:i w:val="0"/>
        </w:rPr>
        <w:t xml:space="preserve">The positive and negative values of </w:t>
      </w:r>
      <w:r>
        <w:rPr>
          <w:rFonts w:ascii="DejaVu Sans Mono" w:hAnsi="DejaVu Sans Mono"/>
          <w:b w:val="0"/>
          <w:i w:val="0"/>
          <w:sz w:val="17"/>
        </w:rPr>
        <w:t>flow_mw</w:t>
      </w:r>
      <w:r>
        <w:rPr>
          <w:b w:val="0"/>
          <w:i w:val="0"/>
        </w:rPr>
        <w:t xml:space="preserve"> define import and export capacity, respectively. Multiplication by </w:t>
      </w:r>
      <w:r>
        <w:rPr>
          <w:rFonts w:ascii="DejaVu Sans Mono" w:hAnsi="DejaVu Sans Mono"/>
          <w:b w:val="0"/>
          <w:i w:val="0"/>
          <w:sz w:val="17"/>
        </w:rPr>
        <w:t>period_hours</w:t>
      </w:r>
      <w:r>
        <w:rPr>
          <w:b w:val="0"/>
          <w:i w:val="0"/>
        </w:rPr>
        <w:t xml:space="preserve"> yields signed period energy </w:t>
      </w:r>
      <w:r>
        <w:rPr>
          <w:rFonts w:ascii="DejaVu Sans Mono" w:hAnsi="DejaVu Sans Mono"/>
          <w:b w:val="0"/>
          <w:i w:val="0"/>
          <w:sz w:val="17"/>
        </w:rPr>
        <w:t>raw_availability</w:t>
      </w:r>
      <w:r>
        <w:rPr>
          <w:b w:val="0"/>
          <w:i w:val="0"/>
        </w:rPr>
        <w:t>, from which the two non-negative envelopes are calculated:</w:t>
      </w:r>
    </w:p>
    <w:p>
      <w:pPr>
        <w:spacing w:after="160"/>
        <w:jc w:val="center"/>
      </w:pPr>
      <w:r>
        <w:drawing>
          <wp:inline xmlns:a="http://schemas.openxmlformats.org/drawingml/2006/main" xmlns:pic="http://schemas.openxmlformats.org/drawingml/2006/picture">
            <wp:extent cx="4242206" cy="621703"/>
            <wp:docPr id="4" name="Picture 4"/>
            <wp:cNvGraphicFramePr>
              <a:graphicFrameLocks noChangeAspect="1"/>
            </wp:cNvGraphicFramePr>
            <a:graphic>
              <a:graphicData uri="http://schemas.openxmlformats.org/drawingml/2006/picture">
                <pic:pic>
                  <pic:nvPicPr>
                    <pic:cNvPr id="0" name="eq-004.png"/>
                    <pic:cNvPicPr/>
                  </pic:nvPicPr>
                  <pic:blipFill>
                    <a:blip r:embed="rId14"/>
                    <a:stretch>
                      <a:fillRect/>
                    </a:stretch>
                  </pic:blipFill>
                  <pic:spPr>
                    <a:xfrm>
                      <a:off x="0" y="0"/>
                      <a:ext cx="4242206" cy="621703"/>
                    </a:xfrm>
                    <a:prstGeom prst="rect"/>
                  </pic:spPr>
                </pic:pic>
              </a:graphicData>
            </a:graphic>
          </wp:inline>
        </w:drawing>
      </w:r>
    </w:p>
    <w:p>
      <w:r>
        <w:rPr>
          <w:b w:val="0"/>
          <w:i w:val="0"/>
        </w:rPr>
        <w:t>The default national market offers imports in day-ahead clearing. Chapter 5 defines their use during clearing and balancing, and Chapter 7 applies the external-boundary capacities in the zonal model. The R029 envelope ranges and mean prices are</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35"/>
        <w:gridCol w:w="2622"/>
        <w:gridCol w:w="2148"/>
        <w:gridCol w:w="2787"/>
      </w:tblGrid>
      <w:tr>
        <w:trPr>
          <w:cantSplit/>
          <w:tblHeader w:val="true"/>
        </w:trPr>
        <w:tc>
          <w:tcPr>
            <w:tcW w:type="dxa" w:w="2235"/>
            <w:vAlign w:val="center"/>
            <w:tcMar>
              <w:top w:w="90" w:type="dxa"/>
              <w:left w:w="90" w:type="dxa"/>
              <w:bottom w:w="90" w:type="dxa"/>
              <w:right w:w="90" w:type="dxa"/>
            </w:tcMar>
            <w:shd w:fill="EEEEEE"/>
          </w:tcPr>
          <w:p>
            <w:pPr>
              <w:spacing w:after="40" w:line="276" w:lineRule="auto"/>
            </w:pPr>
            <w:r>
              <w:rPr>
                <w:b/>
                <w:i w:val="0"/>
                <w:sz w:val="18"/>
              </w:rPr>
              <w:t>Boundary</w:t>
            </w:r>
          </w:p>
        </w:tc>
        <w:tc>
          <w:tcPr>
            <w:tcW w:type="dxa" w:w="2622"/>
            <w:vAlign w:val="center"/>
            <w:tcMar>
              <w:top w:w="90" w:type="dxa"/>
              <w:left w:w="90" w:type="dxa"/>
              <w:bottom w:w="90" w:type="dxa"/>
              <w:right w:w="90" w:type="dxa"/>
            </w:tcMar>
            <w:shd w:fill="EEEEEE"/>
          </w:tcPr>
          <w:p>
            <w:pPr>
              <w:spacing w:after="40" w:line="276" w:lineRule="auto"/>
            </w:pPr>
            <w:r>
              <w:rPr>
                <w:b/>
                <w:i w:val="0"/>
                <w:sz w:val="18"/>
              </w:rPr>
              <w:t>Flow range MW</w:t>
            </w:r>
          </w:p>
        </w:tc>
        <w:tc>
          <w:tcPr>
            <w:tcW w:type="dxa" w:w="2148"/>
            <w:vAlign w:val="center"/>
            <w:tcMar>
              <w:top w:w="90" w:type="dxa"/>
              <w:left w:w="90" w:type="dxa"/>
              <w:bottom w:w="90" w:type="dxa"/>
              <w:right w:w="90" w:type="dxa"/>
            </w:tcMar>
            <w:shd w:fill="EEEEEE"/>
          </w:tcPr>
          <w:p>
            <w:pPr>
              <w:spacing w:after="40" w:line="276" w:lineRule="auto"/>
            </w:pPr>
            <w:r>
              <w:rPr>
                <w:b/>
                <w:i w:val="0"/>
                <w:sz w:val="18"/>
              </w:rPr>
              <w:t>Price year</w:t>
            </w:r>
          </w:p>
        </w:tc>
        <w:tc>
          <w:tcPr>
            <w:tcW w:type="dxa" w:w="2787"/>
            <w:vAlign w:val="center"/>
            <w:tcMar>
              <w:top w:w="90" w:type="dxa"/>
              <w:left w:w="90" w:type="dxa"/>
              <w:bottom w:w="90" w:type="dxa"/>
              <w:right w:w="90" w:type="dxa"/>
            </w:tcMar>
            <w:shd w:fill="EEEEEE"/>
          </w:tcPr>
          <w:p>
            <w:pPr>
              <w:spacing w:after="40" w:line="276" w:lineRule="auto"/>
            </w:pPr>
            <w:r>
              <w:rPr>
                <w:b/>
                <w:i w:val="0"/>
                <w:sz w:val="18"/>
              </w:rPr>
              <w:t>Mean price GBP/MWh</w:t>
            </w:r>
          </w:p>
        </w:tc>
      </w:tr>
      <w:tr>
        <w:trPr>
          <w:cantSplit/>
        </w:trPr>
        <w:tc>
          <w:tcPr>
            <w:tcW w:type="dxa" w:w="2235"/>
            <w:vAlign w:val="center"/>
            <w:tcMar>
              <w:top w:w="90" w:type="dxa"/>
              <w:left w:w="90" w:type="dxa"/>
              <w:bottom w:w="90" w:type="dxa"/>
              <w:right w:w="90" w:type="dxa"/>
            </w:tcMar>
          </w:tcPr>
          <w:p>
            <w:pPr>
              <w:spacing w:after="40" w:line="276" w:lineRule="auto"/>
            </w:pPr>
            <w:r>
              <w:rPr>
                <w:b w:val="0"/>
                <w:i w:val="0"/>
                <w:sz w:val="18"/>
              </w:rPr>
              <w:t>Belgium</w:t>
            </w:r>
          </w:p>
        </w:tc>
        <w:tc>
          <w:tcPr>
            <w:tcW w:type="dxa" w:w="2622"/>
            <w:vAlign w:val="center"/>
            <w:tcMar>
              <w:top w:w="90" w:type="dxa"/>
              <w:left w:w="90" w:type="dxa"/>
              <w:bottom w:w="90" w:type="dxa"/>
              <w:right w:w="90" w:type="dxa"/>
            </w:tcMar>
          </w:tcPr>
          <w:p>
            <w:pPr>
              <w:spacing w:after="40" w:line="276" w:lineRule="auto"/>
            </w:pPr>
            <w:r>
              <w:rPr>
                <w:b w:val="0"/>
                <w:i w:val="0"/>
                <w:sz w:val="18"/>
              </w:rPr>
              <w:t>−1,022 to 1,020</w:t>
            </w:r>
          </w:p>
        </w:tc>
        <w:tc>
          <w:tcPr>
            <w:tcW w:type="dxa" w:w="2148"/>
            <w:vAlign w:val="center"/>
            <w:tcMar>
              <w:top w:w="90" w:type="dxa"/>
              <w:left w:w="90" w:type="dxa"/>
              <w:bottom w:w="90" w:type="dxa"/>
              <w:right w:w="90" w:type="dxa"/>
            </w:tcMar>
          </w:tcPr>
          <w:p>
            <w:pPr>
              <w:spacing w:after="40" w:line="276" w:lineRule="auto"/>
            </w:pPr>
            <w:r>
              <w:rPr>
                <w:b w:val="0"/>
                <w:i w:val="0"/>
                <w:sz w:val="18"/>
              </w:rPr>
              <w:t>2022</w:t>
            </w:r>
          </w:p>
        </w:tc>
        <w:tc>
          <w:tcPr>
            <w:tcW w:type="dxa" w:w="2787"/>
            <w:vAlign w:val="center"/>
            <w:tcMar>
              <w:top w:w="90" w:type="dxa"/>
              <w:left w:w="90" w:type="dxa"/>
              <w:bottom w:w="90" w:type="dxa"/>
              <w:right w:w="90" w:type="dxa"/>
            </w:tcMar>
          </w:tcPr>
          <w:p>
            <w:pPr>
              <w:spacing w:after="40" w:line="276" w:lineRule="auto"/>
            </w:pPr>
            <w:r>
              <w:rPr>
                <w:b w:val="0"/>
                <w:i w:val="0"/>
                <w:sz w:val="18"/>
              </w:rPr>
              <w:t>222.292608</w:t>
            </w:r>
          </w:p>
        </w:tc>
      </w:tr>
      <w:tr>
        <w:trPr>
          <w:cantSplit/>
        </w:trPr>
        <w:tc>
          <w:tcPr>
            <w:tcW w:type="dxa" w:w="2235"/>
            <w:vAlign w:val="center"/>
            <w:tcMar>
              <w:top w:w="90" w:type="dxa"/>
              <w:left w:w="90" w:type="dxa"/>
              <w:bottom w:w="90" w:type="dxa"/>
              <w:right w:w="90" w:type="dxa"/>
            </w:tcMar>
          </w:tcPr>
          <w:p>
            <w:pPr>
              <w:spacing w:after="40" w:line="276" w:lineRule="auto"/>
            </w:pPr>
            <w:r>
              <w:rPr>
                <w:b w:val="0"/>
                <w:i w:val="0"/>
                <w:sz w:val="18"/>
              </w:rPr>
              <w:t>France</w:t>
            </w:r>
          </w:p>
        </w:tc>
        <w:tc>
          <w:tcPr>
            <w:tcW w:type="dxa" w:w="2622"/>
            <w:vAlign w:val="center"/>
            <w:tcMar>
              <w:top w:w="90" w:type="dxa"/>
              <w:left w:w="90" w:type="dxa"/>
              <w:bottom w:w="90" w:type="dxa"/>
              <w:right w:w="90" w:type="dxa"/>
            </w:tcMar>
          </w:tcPr>
          <w:p>
            <w:pPr>
              <w:spacing w:after="40" w:line="276" w:lineRule="auto"/>
            </w:pPr>
            <w:r>
              <w:rPr>
                <w:b w:val="0"/>
                <w:i w:val="0"/>
                <w:sz w:val="18"/>
              </w:rPr>
              <w:t>−3,091 to 2,997</w:t>
            </w:r>
          </w:p>
        </w:tc>
        <w:tc>
          <w:tcPr>
            <w:tcW w:type="dxa" w:w="2148"/>
            <w:vAlign w:val="center"/>
            <w:tcMar>
              <w:top w:w="90" w:type="dxa"/>
              <w:left w:w="90" w:type="dxa"/>
              <w:bottom w:w="90" w:type="dxa"/>
              <w:right w:w="90" w:type="dxa"/>
            </w:tcMar>
          </w:tcPr>
          <w:p>
            <w:pPr>
              <w:spacing w:after="40" w:line="276" w:lineRule="auto"/>
            </w:pPr>
            <w:r>
              <w:rPr>
                <w:b w:val="0"/>
                <w:i w:val="0"/>
                <w:sz w:val="18"/>
              </w:rPr>
              <w:t>2022</w:t>
            </w:r>
          </w:p>
        </w:tc>
        <w:tc>
          <w:tcPr>
            <w:tcW w:type="dxa" w:w="2787"/>
            <w:vAlign w:val="center"/>
            <w:tcMar>
              <w:top w:w="90" w:type="dxa"/>
              <w:left w:w="90" w:type="dxa"/>
              <w:bottom w:w="90" w:type="dxa"/>
              <w:right w:w="90" w:type="dxa"/>
            </w:tcMar>
          </w:tcPr>
          <w:p>
            <w:pPr>
              <w:spacing w:after="40" w:line="276" w:lineRule="auto"/>
            </w:pPr>
            <w:r>
              <w:rPr>
                <w:b w:val="0"/>
                <w:i w:val="0"/>
                <w:sz w:val="18"/>
              </w:rPr>
              <w:t>250.789325</w:t>
            </w:r>
          </w:p>
        </w:tc>
      </w:tr>
      <w:tr>
        <w:trPr>
          <w:cantSplit/>
        </w:trPr>
        <w:tc>
          <w:tcPr>
            <w:tcW w:type="dxa" w:w="2235"/>
            <w:vAlign w:val="center"/>
            <w:tcMar>
              <w:top w:w="90" w:type="dxa"/>
              <w:left w:w="90" w:type="dxa"/>
              <w:bottom w:w="90" w:type="dxa"/>
              <w:right w:w="90" w:type="dxa"/>
            </w:tcMar>
          </w:tcPr>
          <w:p>
            <w:pPr>
              <w:spacing w:after="40" w:line="276" w:lineRule="auto"/>
            </w:pPr>
            <w:r>
              <w:rPr>
                <w:b w:val="0"/>
                <w:i w:val="0"/>
                <w:sz w:val="18"/>
              </w:rPr>
              <w:t>Ireland</w:t>
            </w:r>
          </w:p>
        </w:tc>
        <w:tc>
          <w:tcPr>
            <w:tcW w:type="dxa" w:w="2622"/>
            <w:vAlign w:val="center"/>
            <w:tcMar>
              <w:top w:w="90" w:type="dxa"/>
              <w:left w:w="90" w:type="dxa"/>
              <w:bottom w:w="90" w:type="dxa"/>
              <w:right w:w="90" w:type="dxa"/>
            </w:tcMar>
          </w:tcPr>
          <w:p>
            <w:pPr>
              <w:spacing w:after="40" w:line="276" w:lineRule="auto"/>
            </w:pPr>
            <w:r>
              <w:rPr>
                <w:b w:val="0"/>
                <w:i w:val="0"/>
                <w:sz w:val="18"/>
              </w:rPr>
              <w:t>−987 to 998</w:t>
            </w:r>
          </w:p>
        </w:tc>
        <w:tc>
          <w:tcPr>
            <w:tcW w:type="dxa" w:w="2148"/>
            <w:vAlign w:val="center"/>
            <w:tcMar>
              <w:top w:w="90" w:type="dxa"/>
              <w:left w:w="90" w:type="dxa"/>
              <w:bottom w:w="90" w:type="dxa"/>
              <w:right w:w="90" w:type="dxa"/>
            </w:tcMar>
          </w:tcPr>
          <w:p>
            <w:pPr>
              <w:spacing w:after="40" w:line="276" w:lineRule="auto"/>
            </w:pPr>
            <w:r>
              <w:rPr>
                <w:b w:val="0"/>
                <w:i w:val="0"/>
                <w:sz w:val="18"/>
              </w:rPr>
              <w:t>2021</w:t>
            </w:r>
          </w:p>
        </w:tc>
        <w:tc>
          <w:tcPr>
            <w:tcW w:type="dxa" w:w="2787"/>
            <w:vAlign w:val="center"/>
            <w:tcMar>
              <w:top w:w="90" w:type="dxa"/>
              <w:left w:w="90" w:type="dxa"/>
              <w:bottom w:w="90" w:type="dxa"/>
              <w:right w:w="90" w:type="dxa"/>
            </w:tcMar>
          </w:tcPr>
          <w:p>
            <w:pPr>
              <w:spacing w:after="40" w:line="276" w:lineRule="auto"/>
            </w:pPr>
            <w:r>
              <w:rPr>
                <w:b w:val="0"/>
                <w:i w:val="0"/>
                <w:sz w:val="18"/>
              </w:rPr>
              <w:t>123.937076</w:t>
            </w:r>
          </w:p>
        </w:tc>
      </w:tr>
      <w:tr>
        <w:trPr>
          <w:cantSplit/>
        </w:trPr>
        <w:tc>
          <w:tcPr>
            <w:tcW w:type="dxa" w:w="2235"/>
            <w:vAlign w:val="center"/>
            <w:tcMar>
              <w:top w:w="90" w:type="dxa"/>
              <w:left w:w="90" w:type="dxa"/>
              <w:bottom w:w="90" w:type="dxa"/>
              <w:right w:w="90" w:type="dxa"/>
            </w:tcMar>
          </w:tcPr>
          <w:p>
            <w:pPr>
              <w:spacing w:after="40" w:line="276" w:lineRule="auto"/>
            </w:pPr>
            <w:r>
              <w:rPr>
                <w:b w:val="0"/>
                <w:i w:val="0"/>
                <w:sz w:val="18"/>
              </w:rPr>
              <w:t>Netherlands</w:t>
            </w:r>
          </w:p>
        </w:tc>
        <w:tc>
          <w:tcPr>
            <w:tcW w:type="dxa" w:w="2622"/>
            <w:vAlign w:val="center"/>
            <w:tcMar>
              <w:top w:w="90" w:type="dxa"/>
              <w:left w:w="90" w:type="dxa"/>
              <w:bottom w:w="90" w:type="dxa"/>
              <w:right w:w="90" w:type="dxa"/>
            </w:tcMar>
          </w:tcPr>
          <w:p>
            <w:pPr>
              <w:spacing w:after="40" w:line="276" w:lineRule="auto"/>
            </w:pPr>
            <w:r>
              <w:rPr>
                <w:b w:val="0"/>
                <w:i w:val="0"/>
                <w:sz w:val="18"/>
              </w:rPr>
              <w:t>−1,076 to 1,062</w:t>
            </w:r>
          </w:p>
        </w:tc>
        <w:tc>
          <w:tcPr>
            <w:tcW w:type="dxa" w:w="2148"/>
            <w:vAlign w:val="center"/>
            <w:tcMar>
              <w:top w:w="90" w:type="dxa"/>
              <w:left w:w="90" w:type="dxa"/>
              <w:bottom w:w="90" w:type="dxa"/>
              <w:right w:w="90" w:type="dxa"/>
            </w:tcMar>
          </w:tcPr>
          <w:p>
            <w:pPr>
              <w:spacing w:after="40" w:line="276" w:lineRule="auto"/>
            </w:pPr>
            <w:r>
              <w:rPr>
                <w:b w:val="0"/>
                <w:i w:val="0"/>
                <w:sz w:val="18"/>
              </w:rPr>
              <w:t>2022</w:t>
            </w:r>
          </w:p>
        </w:tc>
        <w:tc>
          <w:tcPr>
            <w:tcW w:type="dxa" w:w="2787"/>
            <w:vAlign w:val="center"/>
            <w:tcMar>
              <w:top w:w="90" w:type="dxa"/>
              <w:left w:w="90" w:type="dxa"/>
              <w:bottom w:w="90" w:type="dxa"/>
              <w:right w:w="90" w:type="dxa"/>
            </w:tcMar>
          </w:tcPr>
          <w:p>
            <w:pPr>
              <w:spacing w:after="40" w:line="276" w:lineRule="auto"/>
            </w:pPr>
            <w:r>
              <w:rPr>
                <w:b w:val="0"/>
                <w:i w:val="0"/>
                <w:sz w:val="18"/>
              </w:rPr>
              <w:t>219.917959</w:t>
            </w:r>
          </w:p>
        </w:tc>
      </w:tr>
      <w:tr>
        <w:trPr>
          <w:cantSplit/>
        </w:trPr>
        <w:tc>
          <w:tcPr>
            <w:tcW w:type="dxa" w:w="2235"/>
            <w:vAlign w:val="center"/>
            <w:tcMar>
              <w:top w:w="90" w:type="dxa"/>
              <w:left w:w="90" w:type="dxa"/>
              <w:bottom w:w="90" w:type="dxa"/>
              <w:right w:w="90" w:type="dxa"/>
            </w:tcMar>
          </w:tcPr>
          <w:p>
            <w:pPr>
              <w:spacing w:after="40" w:line="276" w:lineRule="auto"/>
            </w:pPr>
            <w:r>
              <w:rPr>
                <w:b w:val="0"/>
                <w:i w:val="0"/>
                <w:sz w:val="18"/>
              </w:rPr>
              <w:t>Norway</w:t>
            </w:r>
          </w:p>
        </w:tc>
        <w:tc>
          <w:tcPr>
            <w:tcW w:type="dxa" w:w="2622"/>
            <w:vAlign w:val="center"/>
            <w:tcMar>
              <w:top w:w="90" w:type="dxa"/>
              <w:left w:w="90" w:type="dxa"/>
              <w:bottom w:w="90" w:type="dxa"/>
              <w:right w:w="90" w:type="dxa"/>
            </w:tcMar>
          </w:tcPr>
          <w:p>
            <w:pPr>
              <w:spacing w:after="40" w:line="276" w:lineRule="auto"/>
            </w:pPr>
            <w:r>
              <w:rPr>
                <w:b w:val="0"/>
                <w:i w:val="0"/>
                <w:sz w:val="18"/>
              </w:rPr>
              <w:t>−1,263 to 1,399</w:t>
            </w:r>
          </w:p>
        </w:tc>
        <w:tc>
          <w:tcPr>
            <w:tcW w:type="dxa" w:w="2148"/>
            <w:vAlign w:val="center"/>
            <w:tcMar>
              <w:top w:w="90" w:type="dxa"/>
              <w:left w:w="90" w:type="dxa"/>
              <w:bottom w:w="90" w:type="dxa"/>
              <w:right w:w="90" w:type="dxa"/>
            </w:tcMar>
          </w:tcPr>
          <w:p>
            <w:pPr>
              <w:spacing w:after="40" w:line="276" w:lineRule="auto"/>
            </w:pPr>
            <w:r>
              <w:rPr>
                <w:b w:val="0"/>
                <w:i w:val="0"/>
                <w:sz w:val="18"/>
              </w:rPr>
              <w:t>2022</w:t>
            </w:r>
          </w:p>
        </w:tc>
        <w:tc>
          <w:tcPr>
            <w:tcW w:type="dxa" w:w="2787"/>
            <w:vAlign w:val="center"/>
            <w:tcMar>
              <w:top w:w="90" w:type="dxa"/>
              <w:left w:w="90" w:type="dxa"/>
              <w:bottom w:w="90" w:type="dxa"/>
              <w:right w:w="90" w:type="dxa"/>
            </w:tcMar>
          </w:tcPr>
          <w:p>
            <w:pPr>
              <w:spacing w:after="40" w:line="276" w:lineRule="auto"/>
            </w:pPr>
            <w:r>
              <w:rPr>
                <w:b w:val="0"/>
                <w:i w:val="0"/>
                <w:sz w:val="18"/>
              </w:rPr>
              <w:t>126.503575</w:t>
            </w:r>
          </w:p>
        </w:tc>
      </w:tr>
    </w:tbl>
    <w:p>
      <w:pPr>
        <w:spacing w:after="20"/>
      </w:pPr>
    </w:p>
    <w:p>
      <w:pPr>
        <w:keepNext/>
      </w:pPr>
      <w:r>
        <w:rPr>
          <w:b w:val="0"/>
          <w:i w:val="0"/>
        </w:rPr>
        <w:t xml:space="preserve">Zonal demand uses the national study's total and the network input's spatial shares. </w:t>
      </w:r>
      <w:r>
        <w:rPr>
          <w:rFonts w:ascii="DejaVu Sans Mono" w:hAnsi="DejaVu Sans Mono"/>
          <w:b w:val="0"/>
          <w:i w:val="0"/>
          <w:sz w:val="17"/>
        </w:rPr>
        <w:t>align_zonal_demand</w:t>
      </w:r>
      <w:r>
        <w:rPr>
          <w:b w:val="0"/>
          <w:i w:val="0"/>
        </w:rPr>
        <w:t xml:space="preserve"> matches network and study </w:t>
      </w:r>
      <w:r>
        <w:rPr>
          <w:rFonts w:ascii="DejaVu Sans Mono" w:hAnsi="DejaVu Sans Mono"/>
          <w:b w:val="0"/>
          <w:i w:val="0"/>
          <w:sz w:val="17"/>
        </w:rPr>
        <w:t>period_ids</w:t>
      </w:r>
      <w:r>
        <w:rPr>
          <w:b w:val="0"/>
          <w:i w:val="0"/>
        </w:rPr>
        <w:t xml:space="preserve">, which must be unique and have corresponding records. Actual and forecast input energy must be finite, non-negative and equal in length to the period list. In </w:t>
      </w:r>
      <w:r>
        <w:rPr>
          <w:rFonts w:ascii="DejaVu Sans Mono" w:hAnsi="DejaVu Sans Mono"/>
          <w:b w:val="0"/>
          <w:i w:val="0"/>
          <w:sz w:val="17"/>
        </w:rPr>
        <w:t>scenario_​scaled_​zonal_​shares</w:t>
      </w:r>
      <w:r>
        <w:rPr>
          <w:b w:val="0"/>
          <w:i w:val="0"/>
        </w:rPr>
        <w:t xml:space="preserve">, </w:t>
      </w:r>
      <w:r>
        <w:rPr>
          <w:rFonts w:ascii="DejaVu Sans Mono" w:hAnsi="DejaVu Sans Mono"/>
          <w:b w:val="0"/>
          <w:i w:val="0"/>
          <w:sz w:val="17"/>
        </w:rPr>
        <w:t>output_real</w:t>
      </w:r>
      <w:r>
        <w:rPr>
          <w:b w:val="0"/>
          <w:i w:val="0"/>
        </w:rPr>
        <w:t xml:space="preserve"> holds the study's actual MWh and </w:t>
      </w:r>
      <w:r>
        <w:rPr>
          <w:rFonts w:ascii="DejaVu Sans Mono" w:hAnsi="DejaVu Sans Mono"/>
          <w:b w:val="0"/>
          <w:i w:val="0"/>
          <w:sz w:val="17"/>
        </w:rPr>
        <w:t>network_national</w:t>
      </w:r>
      <w:r>
        <w:rPr>
          <w:b w:val="0"/>
          <w:i w:val="0"/>
        </w:rPr>
        <w:t xml:space="preserve"> the network's national MWh at </w:t>
      </w:r>
      <w:r>
        <w:rPr>
          <w:rFonts w:ascii="DejaVu Sans Mono" w:hAnsi="DejaVu Sans Mono"/>
          <w:b w:val="0"/>
          <w:i w:val="0"/>
          <w:sz w:val="17"/>
        </w:rPr>
        <w:t>index</w:t>
      </w:r>
      <w:r>
        <w:rPr>
          <w:b w:val="0"/>
          <w:i w:val="0"/>
        </w:rPr>
        <w:t>:</w:t>
      </w:r>
    </w:p>
    <w:p>
      <w:pPr>
        <w:spacing w:after="160"/>
        <w:jc w:val="center"/>
      </w:pPr>
      <w:r>
        <w:drawing>
          <wp:inline xmlns:a="http://schemas.openxmlformats.org/drawingml/2006/main" xmlns:pic="http://schemas.openxmlformats.org/drawingml/2006/picture">
            <wp:extent cx="5024704" cy="610371"/>
            <wp:docPr id="5" name="Picture 5"/>
            <wp:cNvGraphicFramePr>
              <a:graphicFrameLocks noChangeAspect="1"/>
            </wp:cNvGraphicFramePr>
            <a:graphic>
              <a:graphicData uri="http://schemas.openxmlformats.org/drawingml/2006/picture">
                <pic:pic>
                  <pic:nvPicPr>
                    <pic:cNvPr id="0" name="eq-005.png"/>
                    <pic:cNvPicPr/>
                  </pic:nvPicPr>
                  <pic:blipFill>
                    <a:blip r:embed="rId15"/>
                    <a:stretch>
                      <a:fillRect/>
                    </a:stretch>
                  </pic:blipFill>
                  <pic:spPr>
                    <a:xfrm>
                      <a:off x="0" y="0"/>
                      <a:ext cx="5024704" cy="610371"/>
                    </a:xfrm>
                    <a:prstGeom prst="rect"/>
                  </pic:spPr>
                </pic:pic>
              </a:graphicData>
            </a:graphic>
          </wp:inline>
        </w:drawing>
      </w:r>
    </w:p>
    <w:p>
      <w:r>
        <w:rPr>
          <w:b w:val="0"/>
          <w:i w:val="0"/>
        </w:rPr>
        <w:t xml:space="preserve">The final zone receives the remaining national energy after the preceding zones have been assigned. If both national inputs equal zero, </w:t>
      </w:r>
      <w:r>
        <w:rPr>
          <w:rFonts w:ascii="DejaVu Sans Mono" w:hAnsi="DejaVu Sans Mono"/>
          <w:b w:val="0"/>
          <w:i w:val="0"/>
          <w:sz w:val="17"/>
        </w:rPr>
        <w:t>scale=1.0</w:t>
      </w:r>
      <w:r>
        <w:rPr>
          <w:b w:val="0"/>
          <w:i w:val="0"/>
        </w:rPr>
        <w:t xml:space="preserve">; positive study demand with zero network national demand terminates alignment. The following sequence gives the complete allocation, with </w:t>
      </w:r>
      <w:r>
        <w:rPr>
          <w:rFonts w:ascii="DejaVu Sans Mono" w:hAnsi="DejaVu Sans Mono"/>
          <w:b w:val="0"/>
          <w:i w:val="0"/>
          <w:sz w:val="17"/>
        </w:rPr>
        <w:t>zone_ids</w:t>
      </w:r>
      <w:r>
        <w:rPr>
          <w:b w:val="0"/>
          <w:i w:val="0"/>
        </w:rPr>
        <w:t xml:space="preserve"> retaining the network's declared order:</w:t>
      </w:r>
    </w:p>
    <w:p>
      <w:pPr>
        <w:keepLines/>
        <w:spacing w:line="276" w:lineRule="auto" w:after="160"/>
      </w:pPr>
      <w:r>
        <w:rPr>
          <w:rFonts w:ascii="DejaVu Sans Mono" w:hAnsi="DejaVu Sans Mono"/>
          <w:b w:val="0"/>
          <w:i w:val="0"/>
          <w:sz w:val="17"/>
        </w:rPr>
        <w:t>aligned = {zone_id: [] for zone_id in zone_ids}</w:t>
        <w:br/>
        <w:t>for index, period_id in enumerate(periods):</w:t>
        <w:br/>
        <w:t xml:space="preserve">    network_national = network_​national_​mwh[index]</w:t>
        <w:br/>
        <w:t xml:space="preserve">    if network_national == 0.0 and output_real[index] == 0.0:</w:t>
        <w:br/>
        <w:t xml:space="preserve">        scale = 1.0</w:t>
        <w:br/>
        <w:t xml:space="preserve">    elif network_national == 0.0:</w:t>
        <w:br/>
        <w:t xml:space="preserve">        raise ValueError("Zonal demand requires positive network national demand")</w:t>
        <w:br/>
        <w:t xml:space="preserve">    else:</w:t>
        <w:br/>
        <w:t xml:space="preserve">        scale = output_real[index] / network_national</w:t>
        <w:br/>
        <w:t xml:space="preserve">    remaining = output_real[index]</w:t>
        <w:br/>
        <w:t xml:space="preserve">    for zone_id in zone_ids[:-1]:</w:t>
        <w:br/>
        <w:t xml:space="preserve">        value = network_​demand_​mwh_​by_​zone[zone_​id][index] * scale</w:t>
        <w:br/>
        <w:t xml:space="preserve">        aligned[zone_​id].append(value)</w:t>
        <w:br/>
        <w:t xml:space="preserve">        remaining -= value</w:t>
        <w:br/>
        <w:t xml:space="preserve">    aligned[zone_​ids[-1]].append(remaining)</w:t>
        <w:br/>
      </w:r>
    </w:p>
    <w:p>
      <w:r>
        <w:rPr>
          <w:b w:val="0"/>
          <w:i w:val="0"/>
        </w:rPr>
        <w:t xml:space="preserve">The alternative </w:t>
      </w:r>
      <w:r>
        <w:rPr>
          <w:rFonts w:ascii="DejaVu Sans Mono" w:hAnsi="DejaVu Sans Mono"/>
          <w:b w:val="0"/>
          <w:i w:val="0"/>
          <w:sz w:val="17"/>
        </w:rPr>
        <w:t>network_​pack_​absolute_​demand</w:t>
      </w:r>
      <w:r>
        <w:rPr>
          <w:b w:val="0"/>
          <w:i w:val="0"/>
        </w:rPr>
        <w:t xml:space="preserve"> sets </w:t>
      </w:r>
      <w:r>
        <w:rPr>
          <w:rFonts w:ascii="DejaVu Sans Mono" w:hAnsi="DejaVu Sans Mono"/>
          <w:b w:val="0"/>
          <w:i w:val="0"/>
          <w:sz w:val="17"/>
        </w:rPr>
        <w:t>output_real</w:t>
      </w:r>
      <w:r>
        <w:rPr>
          <w:b w:val="0"/>
          <w:i w:val="0"/>
        </w:rPr>
        <w:t xml:space="preserve"> to </w:t>
      </w:r>
      <w:r>
        <w:rPr>
          <w:rFonts w:ascii="DejaVu Sans Mono" w:hAnsi="DejaVu Sans Mono"/>
          <w:b w:val="0"/>
          <w:i w:val="0"/>
          <w:sz w:val="17"/>
        </w:rPr>
        <w:t>network_national_mwh</w:t>
      </w:r>
      <w:r>
        <w:rPr>
          <w:b w:val="0"/>
          <w:i w:val="0"/>
        </w:rPr>
        <w:t xml:space="preserve"> and </w:t>
      </w:r>
      <w:r>
        <w:rPr>
          <w:rFonts w:ascii="DejaVu Sans Mono" w:hAnsi="DejaVu Sans Mono"/>
          <w:b w:val="0"/>
          <w:i w:val="0"/>
          <w:sz w:val="17"/>
        </w:rPr>
        <w:t>scale=1.0</w:t>
      </w:r>
      <w:r>
        <w:rPr>
          <w:b w:val="0"/>
          <w:i w:val="0"/>
        </w:rPr>
        <w:t xml:space="preserve">. Its forecast is </w:t>
      </w:r>
      <w:r>
        <w:rPr>
          <w:rFonts w:ascii="DejaVu Sans Mono" w:hAnsi="DejaVu Sans Mono"/>
          <w:b w:val="0"/>
          <w:i w:val="0"/>
          <w:sz w:val="17"/>
        </w:rPr>
        <w:t>output_real[index] * forecast[index] / real[index]</w:t>
      </w:r>
      <w:r>
        <w:rPr>
          <w:b w:val="0"/>
          <w:i w:val="0"/>
        </w:rPr>
        <w:t xml:space="preserve">. When </w:t>
      </w:r>
      <w:r>
        <w:rPr>
          <w:rFonts w:ascii="DejaVu Sans Mono" w:hAnsi="DejaVu Sans Mono"/>
          <w:b w:val="0"/>
          <w:i w:val="0"/>
          <w:sz w:val="17"/>
        </w:rPr>
        <w:t>real[index]</w:t>
      </w:r>
      <w:r>
        <w:rPr>
          <w:b w:val="0"/>
          <w:i w:val="0"/>
        </w:rPr>
        <w:t xml:space="preserve"> is zero, both </w:t>
      </w:r>
      <w:r>
        <w:rPr>
          <w:rFonts w:ascii="DejaVu Sans Mono" w:hAnsi="DejaVu Sans Mono"/>
          <w:b w:val="0"/>
          <w:i w:val="0"/>
          <w:sz w:val="17"/>
        </w:rPr>
        <w:t>forecast[index]</w:t>
      </w:r>
      <w:r>
        <w:rPr>
          <w:b w:val="0"/>
          <w:i w:val="0"/>
        </w:rPr>
        <w:t xml:space="preserve"> and </w:t>
      </w:r>
      <w:r>
        <w:rPr>
          <w:rFonts w:ascii="DejaVu Sans Mono" w:hAnsi="DejaVu Sans Mono"/>
          <w:b w:val="0"/>
          <w:i w:val="0"/>
          <w:sz w:val="17"/>
        </w:rPr>
        <w:t>output_real[index]</w:t>
      </w:r>
      <w:r>
        <w:rPr>
          <w:b w:val="0"/>
          <w:i w:val="0"/>
        </w:rPr>
        <w:t xml:space="preserve"> must also be zero and the resulting forecast is zero. The same final-zone remainder rule preserves the national energy total.</w:t>
      </w:r>
    </w:p>
    <w:p>
      <w:pPr>
        <w:pStyle w:val="Heading2"/>
      </w:pPr>
      <w:r>
        <w:rPr>
          <w:b w:val="0"/>
          <w:i w:val="0"/>
        </w:rPr>
        <w:t>VALUE 101 synthetic inputs</w:t>
      </w:r>
    </w:p>
    <w:p>
      <w:pPr>
        <w:keepNext/>
      </w:pPr>
      <w:r>
        <w:rPr>
          <w:b w:val="0"/>
          <w:i w:val="0"/>
        </w:rPr>
        <w:t xml:space="preserve">VALUE 101 supplies deterministic demand, weather and investment profiles. </w:t>
      </w:r>
      <w:r>
        <w:rPr>
          <w:rFonts w:ascii="DejaVu Sans Mono" w:hAnsi="DejaVu Sans Mono"/>
          <w:b w:val="0"/>
          <w:i w:val="0"/>
          <w:sz w:val="17"/>
        </w:rPr>
        <w:t>_demand</w:t>
      </w:r>
      <w:r>
        <w:rPr>
          <w:b w:val="0"/>
          <w:i w:val="0"/>
        </w:rPr>
        <w:t xml:space="preserve"> returns MW for zero-based half-hour index </w:t>
      </w:r>
      <w:r>
        <w:rPr>
          <w:rFonts w:ascii="DejaVu Sans Mono" w:hAnsi="DejaVu Sans Mono"/>
          <w:b w:val="0"/>
          <w:i w:val="0"/>
          <w:sz w:val="17"/>
        </w:rPr>
        <w:t>period</w:t>
      </w:r>
      <w:r>
        <w:rPr>
          <w:b w:val="0"/>
          <w:i w:val="0"/>
        </w:rPr>
        <w:t xml:space="preserve">; </w:t>
      </w:r>
      <w:r>
        <w:rPr>
          <w:rFonts w:ascii="DejaVu Sans Mono" w:hAnsi="DejaVu Sans Mono"/>
          <w:b w:val="0"/>
          <w:i w:val="0"/>
          <w:sz w:val="17"/>
        </w:rPr>
        <w:t>day</w:t>
      </w:r>
      <w:r>
        <w:rPr>
          <w:b w:val="0"/>
          <w:i w:val="0"/>
        </w:rPr>
        <w:t xml:space="preserve"> and </w:t>
      </w:r>
      <w:r>
        <w:rPr>
          <w:rFonts w:ascii="DejaVu Sans Mono" w:hAnsi="DejaVu Sans Mono"/>
          <w:b w:val="0"/>
          <w:i w:val="0"/>
          <w:sz w:val="17"/>
        </w:rPr>
        <w:t>hour</w:t>
      </w:r>
      <w:r>
        <w:rPr>
          <w:b w:val="0"/>
          <w:i w:val="0"/>
        </w:rPr>
        <w:t xml:space="preserve"> identify its day and hour. </w:t>
      </w:r>
      <w:r>
        <w:rPr>
          <w:rFonts w:ascii="DejaVu Sans Mono" w:hAnsi="DejaVu Sans Mono"/>
          <w:b w:val="0"/>
          <w:i w:val="0"/>
          <w:sz w:val="17"/>
        </w:rPr>
        <w:t>weekday</w:t>
      </w:r>
      <w:r>
        <w:rPr>
          <w:b w:val="0"/>
          <w:i w:val="0"/>
        </w:rPr>
        <w:t xml:space="preserve"> equals 1 when </w:t>
      </w:r>
      <w:r>
        <w:rPr>
          <w:rFonts w:ascii="DejaVu Sans Mono" w:hAnsi="DejaVu Sans Mono"/>
          <w:b w:val="0"/>
          <w:i w:val="0"/>
          <w:sz w:val="17"/>
        </w:rPr>
        <w:t>day % 7 &lt; 5</w:t>
      </w:r>
      <w:r>
        <w:rPr>
          <w:b w:val="0"/>
          <w:i w:val="0"/>
        </w:rPr>
        <w:t xml:space="preserve"> and 0.92 otherwise. </w:t>
      </w:r>
      <w:r>
        <w:rPr>
          <w:rFonts w:ascii="DejaVu Sans Mono" w:hAnsi="DejaVu Sans Mono"/>
          <w:b w:val="0"/>
          <w:i w:val="0"/>
          <w:sz w:val="17"/>
        </w:rPr>
        <w:t>teaching_peak</w:t>
      </w:r>
      <w:r>
        <w:rPr>
          <w:b w:val="0"/>
          <w:i w:val="0"/>
        </w:rPr>
        <w:t xml:space="preserve"> is 30 MW at </w:t>
      </w:r>
      <w:r>
        <w:rPr>
          <w:rFonts w:ascii="DejaVu Sans Mono" w:hAnsi="DejaVu Sans Mono"/>
          <w:b w:val="0"/>
          <w:i w:val="0"/>
          <w:sz w:val="17"/>
        </w:rPr>
        <w:t>period % 48 == 31</w:t>
      </w:r>
      <w:r>
        <w:rPr>
          <w:b w:val="0"/>
          <w:i w:val="0"/>
        </w:rPr>
        <w:t xml:space="preserve"> on days 0 and 182, and zero elsewhere:</w:t>
      </w:r>
    </w:p>
    <w:p>
      <w:pPr>
        <w:spacing w:after="160"/>
        <w:jc w:val="center"/>
      </w:pPr>
      <w:r>
        <w:drawing>
          <wp:inline xmlns:a="http://schemas.openxmlformats.org/drawingml/2006/main" xmlns:pic="http://schemas.openxmlformats.org/drawingml/2006/picture">
            <wp:extent cx="4503953" cy="1188861"/>
            <wp:docPr id="6" name="Picture 6"/>
            <wp:cNvGraphicFramePr>
              <a:graphicFrameLocks noChangeAspect="1"/>
            </wp:cNvGraphicFramePr>
            <a:graphic>
              <a:graphicData uri="http://schemas.openxmlformats.org/drawingml/2006/picture">
                <pic:pic>
                  <pic:nvPicPr>
                    <pic:cNvPr id="0" name="eq-006.png"/>
                    <pic:cNvPicPr/>
                  </pic:nvPicPr>
                  <pic:blipFill>
                    <a:blip r:embed="rId16"/>
                    <a:stretch>
                      <a:fillRect/>
                    </a:stretch>
                  </pic:blipFill>
                  <pic:spPr>
                    <a:xfrm>
                      <a:off x="0" y="0"/>
                      <a:ext cx="4503953" cy="1188861"/>
                    </a:xfrm>
                    <a:prstGeom prst="rect"/>
                  </pic:spPr>
                </pic:pic>
              </a:graphicData>
            </a:graphic>
          </wp:inline>
        </w:drawing>
      </w:r>
    </w:p>
    <w:p>
      <w:pPr>
        <w:spacing w:after="160"/>
        <w:jc w:val="center"/>
      </w:pPr>
      <w:r>
        <w:drawing>
          <wp:inline xmlns:a="http://schemas.openxmlformats.org/drawingml/2006/main" xmlns:pic="http://schemas.openxmlformats.org/drawingml/2006/picture">
            <wp:extent cx="5365089" cy="464045"/>
            <wp:docPr id="7" name="Picture 7"/>
            <wp:cNvGraphicFramePr>
              <a:graphicFrameLocks noChangeAspect="1"/>
            </wp:cNvGraphicFramePr>
            <a:graphic>
              <a:graphicData uri="http://schemas.openxmlformats.org/drawingml/2006/picture">
                <pic:pic>
                  <pic:nvPicPr>
                    <pic:cNvPr id="0" name="eq-007.png"/>
                    <pic:cNvPicPr/>
                  </pic:nvPicPr>
                  <pic:blipFill>
                    <a:blip r:embed="rId17"/>
                    <a:stretch>
                      <a:fillRect/>
                    </a:stretch>
                  </pic:blipFill>
                  <pic:spPr>
                    <a:xfrm>
                      <a:off x="0" y="0"/>
                      <a:ext cx="5365089" cy="464045"/>
                    </a:xfrm>
                    <a:prstGeom prst="rect"/>
                  </pic:spPr>
                </pic:pic>
              </a:graphicData>
            </a:graphic>
          </wp:inline>
        </w:drawing>
      </w:r>
    </w:p>
    <w:p>
      <w:r>
        <w:rPr>
          <w:b w:val="0"/>
          <w:i w:val="0"/>
        </w:rPr>
        <w:t xml:space="preserve">The day-ahead forecast is </w:t>
      </w:r>
      <w:r>
        <w:rPr>
          <w:rFonts w:ascii="DejaVu Sans Mono" w:hAnsi="DejaVu Sans Mono"/>
          <w:b w:val="0"/>
          <w:i w:val="0"/>
          <w:sz w:val="17"/>
        </w:rPr>
        <w:t>_demand(period) + balancing_margin</w:t>
      </w:r>
      <w:r>
        <w:rPr>
          <w:b w:val="0"/>
          <w:i w:val="0"/>
        </w:rPr>
        <w:t xml:space="preserve">, rounded to six decimal places. </w:t>
      </w:r>
      <w:r>
        <w:rPr>
          <w:rFonts w:ascii="DejaVu Sans Mono" w:hAnsi="DejaVu Sans Mono"/>
          <w:b w:val="0"/>
          <w:i w:val="0"/>
          <w:sz w:val="17"/>
        </w:rPr>
        <w:t>balancing_margin</w:t>
      </w:r>
      <w:r>
        <w:rPr>
          <w:b w:val="0"/>
          <w:i w:val="0"/>
        </w:rPr>
        <w:t xml:space="preserve"> is 12 MW at </w:t>
      </w:r>
      <w:r>
        <w:rPr>
          <w:rFonts w:ascii="DejaVu Sans Mono" w:hAnsi="DejaVu Sans Mono"/>
          <w:b w:val="0"/>
          <w:i w:val="0"/>
          <w:sz w:val="17"/>
        </w:rPr>
        <w:t>period % 48 == 30</w:t>
      </w:r>
      <w:r>
        <w:rPr>
          <w:b w:val="0"/>
          <w:i w:val="0"/>
        </w:rPr>
        <w:t xml:space="preserve"> on days 0 and 182, and zero elsewhere. The 12 MW addition precedes each of the two actual demand peaks by half an hour.</w:t>
      </w:r>
    </w:p>
    <w:p>
      <w:pPr>
        <w:keepNext/>
      </w:pPr>
      <w:r>
        <w:rPr>
          <w:b w:val="0"/>
          <w:i w:val="0"/>
        </w:rPr>
        <w:t xml:space="preserve">The solar investment coefficient multiplies daylight and seasonal terms. </w:t>
      </w:r>
      <w:r>
        <w:rPr>
          <w:rFonts w:ascii="DejaVu Sans Mono" w:hAnsi="DejaVu Sans Mono"/>
          <w:b w:val="0"/>
          <w:i w:val="0"/>
          <w:sz w:val="17"/>
        </w:rPr>
        <w:t>_solar_profile</w:t>
      </w:r>
      <w:r>
        <w:rPr>
          <w:b w:val="0"/>
          <w:i w:val="0"/>
        </w:rPr>
        <w:t xml:space="preserve"> returns zero for </w:t>
      </w:r>
      <w:r>
        <w:rPr>
          <w:rFonts w:ascii="DejaVu Sans Mono" w:hAnsi="DejaVu Sans Mono"/>
          <w:b w:val="0"/>
          <w:i w:val="0"/>
          <w:sz w:val="17"/>
        </w:rPr>
        <w:t>hour &lt; 6</w:t>
      </w:r>
      <w:r>
        <w:rPr>
          <w:b w:val="0"/>
          <w:i w:val="0"/>
        </w:rPr>
        <w:t xml:space="preserve"> or </w:t>
      </w:r>
      <w:r>
        <w:rPr>
          <w:rFonts w:ascii="DejaVu Sans Mono" w:hAnsi="DejaVu Sans Mono"/>
          <w:b w:val="0"/>
          <w:i w:val="0"/>
          <w:sz w:val="17"/>
        </w:rPr>
        <w:t>hour &gt; 18</w:t>
      </w:r>
      <w:r>
        <w:rPr>
          <w:b w:val="0"/>
          <w:i w:val="0"/>
        </w:rPr>
        <w:t xml:space="preserve">. During the daylight window it uses the same </w:t>
      </w:r>
      <w:r>
        <w:rPr>
          <w:rFonts w:ascii="DejaVu Sans Mono" w:hAnsi="DejaVu Sans Mono"/>
          <w:b w:val="0"/>
          <w:i w:val="0"/>
          <w:sz w:val="17"/>
        </w:rPr>
        <w:t>day</w:t>
      </w:r>
      <w:r>
        <w:rPr>
          <w:b w:val="0"/>
          <w:i w:val="0"/>
        </w:rPr>
        <w:t xml:space="preserve"> and </w:t>
      </w:r>
      <w:r>
        <w:rPr>
          <w:rFonts w:ascii="DejaVu Sans Mono" w:hAnsi="DejaVu Sans Mono"/>
          <w:b w:val="0"/>
          <w:i w:val="0"/>
          <w:sz w:val="17"/>
        </w:rPr>
        <w:t>hour</w:t>
      </w:r>
      <w:r>
        <w:rPr>
          <w:b w:val="0"/>
          <w:i w:val="0"/>
        </w:rPr>
        <w:t xml:space="preserve"> definitions:</w:t>
      </w:r>
    </w:p>
    <w:p>
      <w:pPr>
        <w:spacing w:after="160"/>
        <w:jc w:val="center"/>
      </w:pPr>
      <w:r>
        <w:drawing>
          <wp:inline xmlns:a="http://schemas.openxmlformats.org/drawingml/2006/main" xmlns:pic="http://schemas.openxmlformats.org/drawingml/2006/picture">
            <wp:extent cx="5693283" cy="679078"/>
            <wp:docPr id="8" name="Picture 8"/>
            <wp:cNvGraphicFramePr>
              <a:graphicFrameLocks noChangeAspect="1"/>
            </wp:cNvGraphicFramePr>
            <a:graphic>
              <a:graphicData uri="http://schemas.openxmlformats.org/drawingml/2006/picture">
                <pic:pic>
                  <pic:nvPicPr>
                    <pic:cNvPr id="0" name="eq-008.png"/>
                    <pic:cNvPicPr/>
                  </pic:nvPicPr>
                  <pic:blipFill>
                    <a:blip r:embed="rId18"/>
                    <a:stretch>
                      <a:fillRect/>
                    </a:stretch>
                  </pic:blipFill>
                  <pic:spPr>
                    <a:xfrm>
                      <a:off x="0" y="0"/>
                      <a:ext cx="5693283" cy="679078"/>
                    </a:xfrm>
                    <a:prstGeom prst="rect"/>
                  </pic:spPr>
                </pic:pic>
              </a:graphicData>
            </a:graphic>
          </wp:inline>
        </w:drawing>
      </w:r>
    </w:p>
    <w:p>
      <w:pPr>
        <w:keepNext/>
      </w:pPr>
      <w:r>
        <w:rPr>
          <w:b w:val="0"/>
          <w:i w:val="0"/>
        </w:rPr>
        <w:t xml:space="preserve">The wind investment coefficient combines daily, 29-day and annual components. </w:t>
      </w:r>
      <w:r>
        <w:rPr>
          <w:rFonts w:ascii="DejaVu Sans Mono" w:hAnsi="DejaVu Sans Mono"/>
          <w:b w:val="0"/>
          <w:i w:val="0"/>
          <w:sz w:val="17"/>
        </w:rPr>
        <w:t>_wind_profile</w:t>
      </w:r>
      <w:r>
        <w:rPr>
          <w:b w:val="0"/>
          <w:i w:val="0"/>
        </w:rPr>
        <w:t xml:space="preserve"> limits the result to 0.08–0.92 and rounds it to six decimal places:</w:t>
      </w:r>
    </w:p>
    <w:p>
      <w:pPr>
        <w:spacing w:after="160"/>
        <w:jc w:val="center"/>
      </w:pPr>
      <w:r>
        <w:drawing>
          <wp:inline xmlns:a="http://schemas.openxmlformats.org/drawingml/2006/main" xmlns:pic="http://schemas.openxmlformats.org/drawingml/2006/picture">
            <wp:extent cx="5018074" cy="1104205"/>
            <wp:docPr id="9" name="Picture 9"/>
            <wp:cNvGraphicFramePr>
              <a:graphicFrameLocks noChangeAspect="1"/>
            </wp:cNvGraphicFramePr>
            <a:graphic>
              <a:graphicData uri="http://schemas.openxmlformats.org/drawingml/2006/picture">
                <pic:pic>
                  <pic:nvPicPr>
                    <pic:cNvPr id="0" name="eq-009.png"/>
                    <pic:cNvPicPr/>
                  </pic:nvPicPr>
                  <pic:blipFill>
                    <a:blip r:embed="rId19"/>
                    <a:stretch>
                      <a:fillRect/>
                    </a:stretch>
                  </pic:blipFill>
                  <pic:spPr>
                    <a:xfrm>
                      <a:off x="0" y="0"/>
                      <a:ext cx="5018074" cy="1104205"/>
                    </a:xfrm>
                    <a:prstGeom prst="rect"/>
                  </pic:spPr>
                </pic:pic>
              </a:graphicData>
            </a:graphic>
          </wp:inline>
        </w:drawing>
      </w:r>
    </w:p>
    <w:p>
      <w:r>
        <w:rPr>
          <w:b w:val="0"/>
          <w:i w:val="0"/>
        </w:rPr>
        <w:t xml:space="preserve">The offshore investment coefficient is 1.08 times </w:t>
      </w:r>
      <w:r>
        <w:rPr>
          <w:rFonts w:ascii="DejaVu Sans Mono" w:hAnsi="DejaVu Sans Mono"/>
          <w:b w:val="0"/>
          <w:i w:val="0"/>
          <w:sz w:val="17"/>
        </w:rPr>
        <w:t>_wind_profile(period)</w:t>
      </w:r>
      <w:r>
        <w:rPr>
          <w:b w:val="0"/>
          <w:i w:val="0"/>
        </w:rPr>
        <w:t xml:space="preserve">, capped at 1 and rounded to six decimal places. Solar, onshore and offshore arrays are bound to </w:t>
      </w:r>
      <w:r>
        <w:rPr>
          <w:rFonts w:ascii="DejaVu Sans Mono" w:hAnsi="DejaVu Sans Mono"/>
          <w:b w:val="0"/>
          <w:i w:val="0"/>
          <w:sz w:val="17"/>
        </w:rPr>
        <w:t>profiles.vre_solar</w:t>
      </w:r>
      <w:r>
        <w:rPr>
          <w:b w:val="0"/>
          <w:i w:val="0"/>
        </w:rPr>
        <w:t xml:space="preserve">, </w:t>
      </w:r>
      <w:r>
        <w:rPr>
          <w:rFonts w:ascii="DejaVu Sans Mono" w:hAnsi="DejaVu Sans Mono"/>
          <w:b w:val="0"/>
          <w:i w:val="0"/>
          <w:sz w:val="17"/>
        </w:rPr>
        <w:t>profiles.vre_onshore</w:t>
      </w:r>
      <w:r>
        <w:rPr>
          <w:b w:val="0"/>
          <w:i w:val="0"/>
        </w:rPr>
        <w:t xml:space="preserve"> and </w:t>
      </w:r>
      <w:r>
        <w:rPr>
          <w:rFonts w:ascii="DejaVu Sans Mono" w:hAnsi="DejaVu Sans Mono"/>
          <w:b w:val="0"/>
          <w:i w:val="0"/>
          <w:sz w:val="17"/>
        </w:rPr>
        <w:t>profiles.vre_offshore</w:t>
      </w:r>
      <w:r>
        <w:rPr>
          <w:b w:val="0"/>
          <w:i w:val="0"/>
        </w:rPr>
        <w:t>.</w:t>
      </w:r>
    </w:p>
    <w:p>
      <w:pPr>
        <w:keepNext/>
      </w:pPr>
      <w:r>
        <w:rPr>
          <w:b w:val="0"/>
          <w:i w:val="0"/>
        </w:rPr>
        <w:t xml:space="preserve">The synthetic weather grid has one point at 52°N, 0°E and 8,760 hourly samples. Here </w:t>
      </w:r>
      <w:r>
        <w:rPr>
          <w:rFonts w:ascii="DejaVu Sans Mono" w:hAnsi="DejaVu Sans Mono"/>
          <w:b w:val="0"/>
          <w:i w:val="0"/>
          <w:sz w:val="17"/>
        </w:rPr>
        <w:t>hour</w:t>
      </w:r>
      <w:r>
        <w:rPr>
          <w:b w:val="0"/>
          <w:i w:val="0"/>
        </w:rPr>
        <w:t xml:space="preserve"> is the zero-based hourly index through the year; </w:t>
      </w:r>
      <w:r>
        <w:rPr>
          <w:rFonts w:ascii="DejaVu Sans Mono" w:hAnsi="DejaVu Sans Mono"/>
          <w:b w:val="0"/>
          <w:i w:val="0"/>
          <w:sz w:val="17"/>
        </w:rPr>
        <w:t>hourly_solar</w:t>
      </w:r>
      <w:r>
        <w:rPr>
          <w:b w:val="0"/>
          <w:i w:val="0"/>
        </w:rPr>
        <w:t xml:space="preserve"> is accumulated radiation in J/m² and </w:t>
      </w:r>
      <w:r>
        <w:rPr>
          <w:rFonts w:ascii="DejaVu Sans Mono" w:hAnsi="DejaVu Sans Mono"/>
          <w:b w:val="0"/>
          <w:i w:val="0"/>
          <w:sz w:val="17"/>
        </w:rPr>
        <w:t>hourly_wind</w:t>
      </w:r>
      <w:r>
        <w:rPr>
          <w:b w:val="0"/>
          <w:i w:val="0"/>
        </w:rPr>
        <w:t xml:space="preserve"> is wind speed in m/s:</w:t>
      </w:r>
    </w:p>
    <w:p>
      <w:pPr>
        <w:spacing w:after="160"/>
        <w:jc w:val="center"/>
      </w:pPr>
      <w:r>
        <w:drawing>
          <wp:inline xmlns:a="http://schemas.openxmlformats.org/drawingml/2006/main" xmlns:pic="http://schemas.openxmlformats.org/drawingml/2006/picture">
            <wp:extent cx="4581296" cy="621813"/>
            <wp:docPr id="10" name="Picture 10"/>
            <wp:cNvGraphicFramePr>
              <a:graphicFrameLocks noChangeAspect="1"/>
            </wp:cNvGraphicFramePr>
            <a:graphic>
              <a:graphicData uri="http://schemas.openxmlformats.org/drawingml/2006/picture">
                <pic:pic>
                  <pic:nvPicPr>
                    <pic:cNvPr id="0" name="eq-010.png"/>
                    <pic:cNvPicPr/>
                  </pic:nvPicPr>
                  <pic:blipFill>
                    <a:blip r:embed="rId20"/>
                    <a:stretch>
                      <a:fillRect/>
                    </a:stretch>
                  </pic:blipFill>
                  <pic:spPr>
                    <a:xfrm>
                      <a:off x="0" y="0"/>
                      <a:ext cx="4581296" cy="621813"/>
                    </a:xfrm>
                    <a:prstGeom prst="rect"/>
                  </pic:spPr>
                </pic:pic>
              </a:graphicData>
            </a:graphic>
          </wp:inline>
        </w:drawing>
      </w:r>
    </w:p>
    <w:p>
      <w:r>
        <w:rPr>
          <w:b w:val="0"/>
          <w:i w:val="0"/>
        </w:rPr>
        <w:t xml:space="preserve">Dispatch converts this wind speed through the wind curve and this solar series through the instantaneous-input rule in Chapter 3. Investment uses the coefficients above. The French boundary supplies a constant 12 MW import envelope and 82 GBP/MWh price; the other four boundaries have zero exchange capacity and a price input of 200 GBP/MWh. </w:t>
      </w:r>
      <w:r>
        <w:rPr>
          <w:rFonts w:ascii="DejaVu Sans Mono" w:hAnsi="DejaVu Sans Mono"/>
          <w:b w:val="0"/>
          <w:i w:val="0"/>
          <w:sz w:val="17"/>
        </w:rPr>
        <w:t>build_value_101_packs</w:t>
      </w:r>
      <w:r>
        <w:rPr>
          <w:b w:val="0"/>
          <w:i w:val="0"/>
        </w:rPr>
        <w:t xml:space="preserve"> writes these sequences into the teaching inputs.</w:t>
      </w:r>
    </w:p>
    <w:p>
      <w:pPr>
        <w:pStyle w:val="Heading1"/>
      </w:pPr>
      <w:r>
        <w:rPr>
          <w:b w:val="0"/>
          <w:i w:val="0"/>
        </w:rPr>
        <w:t>3 Weather and available generation</w:t>
      </w:r>
    </w:p>
    <w:p>
      <w:pPr>
        <w:keepNext/>
      </w:pPr>
      <w:r>
        <w:rPr>
          <w:b w:val="0"/>
          <w:i w:val="0"/>
        </w:rPr>
        <w:t xml:space="preserve">Wind and solar availability is calculated for each asset from its installed capacity and the weather assigned to its representative location. </w:t>
      </w:r>
      <w:r>
        <w:rPr>
          <w:rFonts w:ascii="DejaVu Sans Mono" w:hAnsi="DejaVu Sans Mono"/>
          <w:b w:val="0"/>
          <w:i w:val="0"/>
          <w:sz w:val="17"/>
        </w:rPr>
        <w:t>capacity_mw</w:t>
      </w:r>
      <w:r>
        <w:rPr>
          <w:b w:val="0"/>
          <w:i w:val="0"/>
        </w:rPr>
        <w:t xml:space="preserve"> is installed MW, </w:t>
      </w:r>
      <w:r>
        <w:rPr>
          <w:rFonts w:ascii="DejaVu Sans Mono" w:hAnsi="DejaVu Sans Mono"/>
          <w:b w:val="0"/>
          <w:i w:val="0"/>
          <w:sz w:val="17"/>
        </w:rPr>
        <w:t>availability</w:t>
      </w:r>
      <w:r>
        <w:rPr>
          <w:b w:val="0"/>
          <w:i w:val="0"/>
        </w:rPr>
        <w:t xml:space="preserve"> is the dimensionless weather conversion coefficient, </w:t>
      </w:r>
      <w:r>
        <w:rPr>
          <w:rFonts w:ascii="DejaVu Sans Mono" w:hAnsi="DejaVu Sans Mono"/>
          <w:b w:val="0"/>
          <w:i w:val="0"/>
          <w:sz w:val="17"/>
        </w:rPr>
        <w:t>available_mw</w:t>
      </w:r>
      <w:r>
        <w:rPr>
          <w:b w:val="0"/>
          <w:i w:val="0"/>
        </w:rPr>
        <w:t xml:space="preserve"> is available power, and </w:t>
      </w:r>
      <w:r>
        <w:rPr>
          <w:rFonts w:ascii="DejaVu Sans Mono" w:hAnsi="DejaVu Sans Mono"/>
          <w:b w:val="0"/>
          <w:i w:val="0"/>
          <w:sz w:val="17"/>
        </w:rPr>
        <w:t>available_mwh</w:t>
      </w:r>
      <w:r>
        <w:rPr>
          <w:b w:val="0"/>
          <w:i w:val="0"/>
        </w:rPr>
        <w:t xml:space="preserve"> is energy available in one operating period:</w:t>
      </w:r>
    </w:p>
    <w:p>
      <w:pPr>
        <w:spacing w:after="160"/>
        <w:jc w:val="center"/>
      </w:pPr>
      <w:r>
        <w:drawing>
          <wp:inline xmlns:a="http://schemas.openxmlformats.org/drawingml/2006/main" xmlns:pic="http://schemas.openxmlformats.org/drawingml/2006/picture">
            <wp:extent cx="3837431" cy="621668"/>
            <wp:docPr id="11" name="Picture 11"/>
            <wp:cNvGraphicFramePr>
              <a:graphicFrameLocks noChangeAspect="1"/>
            </wp:cNvGraphicFramePr>
            <a:graphic>
              <a:graphicData uri="http://schemas.openxmlformats.org/drawingml/2006/picture">
                <pic:pic>
                  <pic:nvPicPr>
                    <pic:cNvPr id="0" name="eq-011.png"/>
                    <pic:cNvPicPr/>
                  </pic:nvPicPr>
                  <pic:blipFill>
                    <a:blip r:embed="rId21"/>
                    <a:stretch>
                      <a:fillRect/>
                    </a:stretch>
                  </pic:blipFill>
                  <pic:spPr>
                    <a:xfrm>
                      <a:off x="0" y="0"/>
                      <a:ext cx="3837431" cy="621668"/>
                    </a:xfrm>
                    <a:prstGeom prst="rect"/>
                  </pic:spPr>
                </pic:pic>
              </a:graphicData>
            </a:graphic>
          </wp:inline>
        </w:drawing>
      </w:r>
    </w:p>
    <w:p>
      <w:r>
        <w:rPr>
          <w:b w:val="0"/>
          <w:i w:val="0"/>
        </w:rPr>
        <w:t>The weather calculation produces an upper supply limit for clearing. Dispatch determines the accepted energy in Chapters 4, 5 and 7. Annual investment uses the technology-average profiles described at the end of this chapter and the capacity limits in Chapter 6.</w:t>
      </w:r>
    </w:p>
    <w:p>
      <w:pPr>
        <w:pStyle w:val="Heading2"/>
      </w:pPr>
      <w:r>
        <w:rPr>
          <w:b w:val="0"/>
          <w:i w:val="0"/>
        </w:rPr>
        <w:t>Weather inputs and spatial sampling</w:t>
      </w:r>
    </w:p>
    <w:p>
      <w:r>
        <w:rPr>
          <w:b w:val="0"/>
          <w:i w:val="0"/>
        </w:rPr>
        <w:t>R029 represents each calendar hour by the mean of the 2020–2024 ERA5 observations for that month, day and hour. The source contains 43,848 hourly records. Removing the two leap days removes 48 hours, leaving five observations for each of 8,760 retained calendar hours. The resulting annual sequence is reused in each model year.</w:t>
      </w:r>
    </w:p>
    <w:p>
      <w:r>
        <w:rPr>
          <w:b w:val="0"/>
          <w:i w:val="0"/>
        </w:rPr>
        <w:t xml:space="preserve">Wind speed is averaged after calculation of the vector magnitude at each source hour. The preprocessing first takes the square root of </w:t>
      </w:r>
      <w:r>
        <w:rPr>
          <w:rFonts w:ascii="DejaVu Sans Mono" w:hAnsi="DejaVu Sans Mono"/>
          <w:b w:val="0"/>
          <w:i w:val="0"/>
          <w:sz w:val="17"/>
        </w:rPr>
        <w:t>u100</w:t>
      </w:r>
      <w:r>
        <w:rPr>
          <w:b w:val="0"/>
          <w:i w:val="0"/>
        </w:rPr>
        <w:t xml:space="preserve"> squared plus </w:t>
      </w:r>
      <w:r>
        <w:rPr>
          <w:rFonts w:ascii="DejaVu Sans Mono" w:hAnsi="DejaVu Sans Mono"/>
          <w:b w:val="0"/>
          <w:i w:val="0"/>
          <w:sz w:val="17"/>
        </w:rPr>
        <w:t>v100</w:t>
      </w:r>
      <w:r>
        <w:rPr>
          <w:b w:val="0"/>
          <w:i w:val="0"/>
        </w:rPr>
        <w:t xml:space="preserve"> squared, then forms its calendar mean as </w:t>
      </w:r>
      <w:r>
        <w:rPr>
          <w:rFonts w:ascii="DejaVu Sans Mono" w:hAnsi="DejaVu Sans Mono"/>
          <w:b w:val="0"/>
          <w:i w:val="0"/>
          <w:sz w:val="17"/>
        </w:rPr>
        <w:t>wind_speed</w:t>
      </w:r>
      <w:r>
        <w:rPr>
          <w:b w:val="0"/>
          <w:i w:val="0"/>
        </w:rPr>
        <w:t xml:space="preserve">; it also retains </w:t>
      </w:r>
      <w:r>
        <w:rPr>
          <w:rFonts w:ascii="DejaVu Sans Mono" w:hAnsi="DejaVu Sans Mono"/>
          <w:b w:val="0"/>
          <w:i w:val="0"/>
          <w:sz w:val="17"/>
        </w:rPr>
        <w:t>u100</w:t>
      </w:r>
      <w:r>
        <w:rPr>
          <w:b w:val="0"/>
          <w:i w:val="0"/>
        </w:rPr>
        <w:t xml:space="preserve"> and </w:t>
      </w:r>
      <w:r>
        <w:rPr>
          <w:rFonts w:ascii="DejaVu Sans Mono" w:hAnsi="DejaVu Sans Mono"/>
          <w:b w:val="0"/>
          <w:i w:val="0"/>
          <w:sz w:val="17"/>
        </w:rPr>
        <w:t>v100</w:t>
      </w:r>
      <w:r>
        <w:rPr>
          <w:b w:val="0"/>
          <w:i w:val="0"/>
        </w:rPr>
        <w:t xml:space="preserve">. The solar file contains accumulated downward horizontal radiation </w:t>
      </w:r>
      <w:r>
        <w:rPr>
          <w:rFonts w:ascii="DejaVu Sans Mono" w:hAnsi="DejaVu Sans Mono"/>
          <w:b w:val="0"/>
          <w:i w:val="0"/>
          <w:sz w:val="17"/>
        </w:rPr>
        <w:t>ssrd</w:t>
      </w:r>
      <w:r>
        <w:rPr>
          <w:b w:val="0"/>
          <w:i w:val="0"/>
        </w:rPr>
        <w:t xml:space="preserve">. The R029 files are </w:t>
      </w:r>
      <w:r>
        <w:rPr>
          <w:rFonts w:ascii="DejaVu Sans Mono" w:hAnsi="DejaVu Sans Mono"/>
          <w:b w:val="0"/>
          <w:i w:val="0"/>
          <w:sz w:val="17"/>
        </w:rPr>
        <w:t>calendar_​mean_​wind_​2020_​2024.nc</w:t>
      </w:r>
      <w:r>
        <w:rPr>
          <w:b w:val="0"/>
          <w:i w:val="0"/>
        </w:rPr>
        <w:t xml:space="preserve"> and </w:t>
      </w:r>
      <w:r>
        <w:rPr>
          <w:rFonts w:ascii="DejaVu Sans Mono" w:hAnsi="DejaVu Sans Mono"/>
          <w:b w:val="0"/>
          <w:i w:val="0"/>
          <w:sz w:val="17"/>
        </w:rPr>
        <w:t>calendar_​mean_​solar_​2020_​2024.nc</w:t>
      </w:r>
      <w:r>
        <w:rPr>
          <w:b w:val="0"/>
          <w:i w:val="0"/>
        </w:rPr>
        <w:t>.</w:t>
      </w:r>
    </w:p>
    <w:p>
      <w:r>
        <w:rPr>
          <w:b w:val="0"/>
          <w:i w:val="0"/>
        </w:rPr>
        <w:t>The weather grid covers Great Britain and adjacent seas at 0.25° resolution. The files have the following coordinate extents and array sizes: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19"/>
        <w:gridCol w:w="2157"/>
        <w:gridCol w:w="2219"/>
        <w:gridCol w:w="3196"/>
      </w:tblGrid>
      <w:tr>
        <w:trPr>
          <w:cantSplit/>
          <w:tblHeader w:val="true"/>
        </w:trPr>
        <w:tc>
          <w:tcPr>
            <w:tcW w:type="dxa" w:w="2219"/>
            <w:vAlign w:val="center"/>
            <w:tcMar>
              <w:top w:w="90" w:type="dxa"/>
              <w:left w:w="90" w:type="dxa"/>
              <w:bottom w:w="90" w:type="dxa"/>
              <w:right w:w="90" w:type="dxa"/>
            </w:tcMar>
            <w:shd w:fill="EEEEEE"/>
          </w:tcPr>
          <w:p>
            <w:pPr>
              <w:spacing w:after="40" w:line="276" w:lineRule="auto"/>
            </w:pPr>
            <w:r>
              <w:rPr>
                <w:b/>
                <w:i w:val="0"/>
                <w:sz w:val="18"/>
              </w:rPr>
              <w:t>Input</w:t>
            </w:r>
          </w:p>
        </w:tc>
        <w:tc>
          <w:tcPr>
            <w:tcW w:type="dxa" w:w="2157"/>
            <w:vAlign w:val="center"/>
            <w:tcMar>
              <w:top w:w="90" w:type="dxa"/>
              <w:left w:w="90" w:type="dxa"/>
              <w:bottom w:w="90" w:type="dxa"/>
              <w:right w:w="90" w:type="dxa"/>
            </w:tcMar>
            <w:shd w:fill="EEEEEE"/>
          </w:tcPr>
          <w:p>
            <w:pPr>
              <w:spacing w:after="40" w:line="276" w:lineRule="auto"/>
            </w:pPr>
            <w:r>
              <w:rPr>
                <w:b/>
                <w:i w:val="0"/>
                <w:sz w:val="18"/>
              </w:rPr>
              <w:t>Latitude range</w:t>
            </w:r>
          </w:p>
        </w:tc>
        <w:tc>
          <w:tcPr>
            <w:tcW w:type="dxa" w:w="2219"/>
            <w:vAlign w:val="center"/>
            <w:tcMar>
              <w:top w:w="90" w:type="dxa"/>
              <w:left w:w="90" w:type="dxa"/>
              <w:bottom w:w="90" w:type="dxa"/>
              <w:right w:w="90" w:type="dxa"/>
            </w:tcMar>
            <w:shd w:fill="EEEEEE"/>
          </w:tcPr>
          <w:p>
            <w:pPr>
              <w:spacing w:after="40" w:line="276" w:lineRule="auto"/>
            </w:pPr>
            <w:r>
              <w:rPr>
                <w:b/>
                <w:i w:val="0"/>
                <w:sz w:val="18"/>
              </w:rPr>
              <w:t>Longitude range</w:t>
            </w:r>
          </w:p>
        </w:tc>
        <w:tc>
          <w:tcPr>
            <w:tcW w:type="dxa" w:w="3196"/>
            <w:vAlign w:val="center"/>
            <w:tcMar>
              <w:top w:w="90" w:type="dxa"/>
              <w:left w:w="90" w:type="dxa"/>
              <w:bottom w:w="90" w:type="dxa"/>
              <w:right w:w="90" w:type="dxa"/>
            </w:tcMar>
            <w:shd w:fill="EEEEEE"/>
          </w:tcPr>
          <w:p>
            <w:pPr>
              <w:spacing w:after="40" w:line="276" w:lineRule="auto"/>
            </w:pPr>
            <w:r>
              <w:rPr>
                <w:b/>
                <w:i w:val="0"/>
                <w:sz w:val="18"/>
              </w:rPr>
              <w:t>Latitude × longitude × day × hour</w:t>
            </w:r>
          </w:p>
        </w:tc>
      </w:tr>
      <w:tr>
        <w:trPr>
          <w:cantSplit/>
        </w:trPr>
        <w:tc>
          <w:tcPr>
            <w:tcW w:type="dxa" w:w="2219"/>
            <w:vAlign w:val="center"/>
            <w:tcMar>
              <w:top w:w="90" w:type="dxa"/>
              <w:left w:w="90" w:type="dxa"/>
              <w:bottom w:w="90" w:type="dxa"/>
              <w:right w:w="90" w:type="dxa"/>
            </w:tcMar>
          </w:tcPr>
          <w:p>
            <w:pPr>
              <w:spacing w:after="40" w:line="276" w:lineRule="auto"/>
            </w:pPr>
            <w:r>
              <w:rPr>
                <w:b w:val="0"/>
                <w:i w:val="0"/>
                <w:sz w:val="18"/>
              </w:rPr>
              <w:t>Solar radiation</w:t>
            </w:r>
          </w:p>
        </w:tc>
        <w:tc>
          <w:tcPr>
            <w:tcW w:type="dxa" w:w="2157"/>
            <w:vAlign w:val="center"/>
            <w:tcMar>
              <w:top w:w="90" w:type="dxa"/>
              <w:left w:w="90" w:type="dxa"/>
              <w:bottom w:w="90" w:type="dxa"/>
              <w:right w:w="90" w:type="dxa"/>
            </w:tcMar>
          </w:tcPr>
          <w:p>
            <w:pPr>
              <w:spacing w:after="40" w:line="276" w:lineRule="auto"/>
            </w:pPr>
            <w:r>
              <w:rPr>
                <w:b w:val="0"/>
                <w:i w:val="0"/>
                <w:sz w:val="18"/>
              </w:rPr>
              <w:t>45°–65°N</w:t>
            </w:r>
          </w:p>
        </w:tc>
        <w:tc>
          <w:tcPr>
            <w:tcW w:type="dxa" w:w="2219"/>
            <w:vAlign w:val="center"/>
            <w:tcMar>
              <w:top w:w="90" w:type="dxa"/>
              <w:left w:w="90" w:type="dxa"/>
              <w:bottom w:w="90" w:type="dxa"/>
              <w:right w:w="90" w:type="dxa"/>
            </w:tcMar>
          </w:tcPr>
          <w:p>
            <w:pPr>
              <w:spacing w:after="40" w:line="276" w:lineRule="auto"/>
            </w:pPr>
            <w:r>
              <w:rPr>
                <w:b w:val="0"/>
                <w:i w:val="0"/>
                <w:sz w:val="18"/>
              </w:rPr>
              <w:t>14°W–4°E</w:t>
            </w:r>
          </w:p>
        </w:tc>
        <w:tc>
          <w:tcPr>
            <w:tcW w:type="dxa" w:w="3196"/>
            <w:vAlign w:val="center"/>
            <w:tcMar>
              <w:top w:w="90" w:type="dxa"/>
              <w:left w:w="90" w:type="dxa"/>
              <w:bottom w:w="90" w:type="dxa"/>
              <w:right w:w="90" w:type="dxa"/>
            </w:tcMar>
          </w:tcPr>
          <w:p>
            <w:pPr>
              <w:spacing w:after="40" w:line="276" w:lineRule="auto"/>
            </w:pPr>
            <w:r>
              <w:rPr>
                <w:b w:val="0"/>
                <w:i w:val="0"/>
                <w:sz w:val="18"/>
              </w:rPr>
              <w:t>81 × 73 × 365 × 24</w:t>
            </w:r>
          </w:p>
        </w:tc>
      </w:tr>
      <w:tr>
        <w:trPr>
          <w:cantSplit/>
        </w:trPr>
        <w:tc>
          <w:tcPr>
            <w:tcW w:type="dxa" w:w="2219"/>
            <w:vAlign w:val="center"/>
            <w:tcMar>
              <w:top w:w="90" w:type="dxa"/>
              <w:left w:w="90" w:type="dxa"/>
              <w:bottom w:w="90" w:type="dxa"/>
              <w:right w:w="90" w:type="dxa"/>
            </w:tcMar>
          </w:tcPr>
          <w:p>
            <w:pPr>
              <w:spacing w:after="40" w:line="276" w:lineRule="auto"/>
            </w:pPr>
            <w:r>
              <w:rPr>
                <w:b w:val="0"/>
                <w:i w:val="0"/>
                <w:sz w:val="18"/>
              </w:rPr>
              <w:t>100 m wind</w:t>
            </w:r>
          </w:p>
        </w:tc>
        <w:tc>
          <w:tcPr>
            <w:tcW w:type="dxa" w:w="2157"/>
            <w:vAlign w:val="center"/>
            <w:tcMar>
              <w:top w:w="90" w:type="dxa"/>
              <w:left w:w="90" w:type="dxa"/>
              <w:bottom w:w="90" w:type="dxa"/>
              <w:right w:w="90" w:type="dxa"/>
            </w:tcMar>
          </w:tcPr>
          <w:p>
            <w:pPr>
              <w:spacing w:after="40" w:line="276" w:lineRule="auto"/>
            </w:pPr>
            <w:r>
              <w:rPr>
                <w:b w:val="0"/>
                <w:i w:val="0"/>
                <w:sz w:val="18"/>
              </w:rPr>
              <w:t>46°–65°N</w:t>
            </w:r>
          </w:p>
        </w:tc>
        <w:tc>
          <w:tcPr>
            <w:tcW w:type="dxa" w:w="2219"/>
            <w:vAlign w:val="center"/>
            <w:tcMar>
              <w:top w:w="90" w:type="dxa"/>
              <w:left w:w="90" w:type="dxa"/>
              <w:bottom w:w="90" w:type="dxa"/>
              <w:right w:w="90" w:type="dxa"/>
            </w:tcMar>
          </w:tcPr>
          <w:p>
            <w:pPr>
              <w:spacing w:after="40" w:line="276" w:lineRule="auto"/>
            </w:pPr>
            <w:r>
              <w:rPr>
                <w:b w:val="0"/>
                <w:i w:val="0"/>
                <w:sz w:val="18"/>
              </w:rPr>
              <w:t>14°W–5°E</w:t>
            </w:r>
          </w:p>
        </w:tc>
        <w:tc>
          <w:tcPr>
            <w:tcW w:type="dxa" w:w="3196"/>
            <w:vAlign w:val="center"/>
            <w:tcMar>
              <w:top w:w="90" w:type="dxa"/>
              <w:left w:w="90" w:type="dxa"/>
              <w:bottom w:w="90" w:type="dxa"/>
              <w:right w:w="90" w:type="dxa"/>
            </w:tcMar>
          </w:tcPr>
          <w:p>
            <w:pPr>
              <w:spacing w:after="40" w:line="276" w:lineRule="auto"/>
            </w:pPr>
            <w:r>
              <w:rPr>
                <w:b w:val="0"/>
                <w:i w:val="0"/>
                <w:sz w:val="18"/>
              </w:rPr>
              <w:t>77 × 77 × 365 × 24</w:t>
            </w:r>
          </w:p>
        </w:tc>
      </w:tr>
    </w:tbl>
    <w:p>
      <w:pPr>
        <w:spacing w:after="20"/>
      </w:pPr>
    </w:p>
    <w:p>
      <w:pPr>
        <w:keepNext/>
      </w:pPr>
      <w:r>
        <w:rPr>
          <w:b w:val="0"/>
          <w:i w:val="0"/>
        </w:rPr>
        <w:t xml:space="preserve">A representative site receives the nearest grid latitude and longitude. In </w:t>
      </w:r>
      <w:r>
        <w:rPr>
          <w:rFonts w:ascii="DejaVu Sans Mono" w:hAnsi="DejaVu Sans Mono"/>
          <w:b w:val="0"/>
          <w:i w:val="0"/>
          <w:sz w:val="17"/>
        </w:rPr>
        <w:t>point_series</w:t>
      </w:r>
      <w:r>
        <w:rPr>
          <w:b w:val="0"/>
          <w:i w:val="0"/>
        </w:rPr>
        <w:t xml:space="preserve">, site coordinates </w:t>
      </w:r>
      <w:r>
        <w:rPr>
          <w:rFonts w:ascii="DejaVu Sans Mono" w:hAnsi="DejaVu Sans Mono"/>
          <w:b w:val="0"/>
          <w:i w:val="0"/>
          <w:sz w:val="17"/>
        </w:rPr>
        <w:t>latitude</w:t>
      </w:r>
      <w:r>
        <w:rPr>
          <w:b w:val="0"/>
          <w:i w:val="0"/>
        </w:rPr>
        <w:t xml:space="preserve"> and </w:t>
      </w:r>
      <w:r>
        <w:rPr>
          <w:rFonts w:ascii="DejaVu Sans Mono" w:hAnsi="DejaVu Sans Mono"/>
          <w:b w:val="0"/>
          <w:i w:val="0"/>
          <w:sz w:val="17"/>
        </w:rPr>
        <w:t>longitude</w:t>
      </w:r>
      <w:r>
        <w:rPr>
          <w:b w:val="0"/>
          <w:i w:val="0"/>
        </w:rPr>
        <w:t xml:space="preserve"> and grid arrays </w:t>
      </w:r>
      <w:r>
        <w:rPr>
          <w:rFonts w:ascii="DejaVu Sans Mono" w:hAnsi="DejaVu Sans Mono"/>
          <w:b w:val="0"/>
          <w:i w:val="0"/>
          <w:sz w:val="17"/>
        </w:rPr>
        <w:t>lats</w:t>
      </w:r>
      <w:r>
        <w:rPr>
          <w:b w:val="0"/>
          <w:i w:val="0"/>
        </w:rPr>
        <w:t xml:space="preserve"> and </w:t>
      </w:r>
      <w:r>
        <w:rPr>
          <w:rFonts w:ascii="DejaVu Sans Mono" w:hAnsi="DejaVu Sans Mono"/>
          <w:b w:val="0"/>
          <w:i w:val="0"/>
          <w:sz w:val="17"/>
        </w:rPr>
        <w:t>lons</w:t>
      </w:r>
      <w:r>
        <w:rPr>
          <w:b w:val="0"/>
          <w:i w:val="0"/>
        </w:rPr>
        <w:t xml:space="preserve"> are in degrees. </w:t>
      </w:r>
      <w:r>
        <w:rPr>
          <w:rFonts w:ascii="DejaVu Sans Mono" w:hAnsi="DejaVu Sans Mono"/>
          <w:b w:val="0"/>
          <w:i w:val="0"/>
          <w:sz w:val="17"/>
        </w:rPr>
        <w:t>lat_index</w:t>
      </w:r>
      <w:r>
        <w:rPr>
          <w:b w:val="0"/>
          <w:i w:val="0"/>
        </w:rPr>
        <w:t xml:space="preserve"> and </w:t>
      </w:r>
      <w:r>
        <w:rPr>
          <w:rFonts w:ascii="DejaVu Sans Mono" w:hAnsi="DejaVu Sans Mono"/>
          <w:b w:val="0"/>
          <w:i w:val="0"/>
          <w:sz w:val="17"/>
        </w:rPr>
        <w:t>lon_index</w:t>
      </w:r>
      <w:r>
        <w:rPr>
          <w:b w:val="0"/>
          <w:i w:val="0"/>
        </w:rPr>
        <w:t xml:space="preserve"> select the smallest absolute coordinate differences; a tie selects the first grid-array entry:</w:t>
      </w:r>
    </w:p>
    <w:p>
      <w:pPr>
        <w:spacing w:after="160"/>
        <w:jc w:val="center"/>
      </w:pPr>
      <w:r>
        <w:drawing>
          <wp:inline xmlns:a="http://schemas.openxmlformats.org/drawingml/2006/main" xmlns:pic="http://schemas.openxmlformats.org/drawingml/2006/picture">
            <wp:extent cx="3346170" cy="665120"/>
            <wp:docPr id="12" name="Picture 12"/>
            <wp:cNvGraphicFramePr>
              <a:graphicFrameLocks noChangeAspect="1"/>
            </wp:cNvGraphicFramePr>
            <a:graphic>
              <a:graphicData uri="http://schemas.openxmlformats.org/drawingml/2006/picture">
                <pic:pic>
                  <pic:nvPicPr>
                    <pic:cNvPr id="0" name="eq-012.png"/>
                    <pic:cNvPicPr/>
                  </pic:nvPicPr>
                  <pic:blipFill>
                    <a:blip r:embed="rId22"/>
                    <a:stretch>
                      <a:fillRect/>
                    </a:stretch>
                  </pic:blipFill>
                  <pic:spPr>
                    <a:xfrm>
                      <a:off x="0" y="0"/>
                      <a:ext cx="3346170" cy="665120"/>
                    </a:xfrm>
                    <a:prstGeom prst="rect"/>
                  </pic:spPr>
                </pic:pic>
              </a:graphicData>
            </a:graphic>
          </wp:inline>
        </w:drawing>
      </w:r>
    </w:p>
    <w:p>
      <w:r>
        <w:rPr>
          <w:b w:val="0"/>
          <w:i w:val="0"/>
        </w:rPr>
        <w:t xml:space="preserve">Spatial extraction accepts latitude–longitude–day–hour arrays and time–latitude–longitude arrays. The selected point is flattened in source order to an hourly sequence. An empty sequence, masked value, non-finite value or other array layout terminates weather loading. Each site's </w:t>
      </w:r>
      <w:r>
        <w:rPr>
          <w:rFonts w:ascii="DejaVu Sans Mono" w:hAnsi="DejaVu Sans Mono"/>
          <w:b w:val="0"/>
          <w:i w:val="0"/>
          <w:sz w:val="17"/>
        </w:rPr>
        <w:t>lat</w:t>
      </w:r>
      <w:r>
        <w:rPr>
          <w:b w:val="0"/>
          <w:i w:val="0"/>
        </w:rPr>
        <w:t xml:space="preserve"> and </w:t>
      </w:r>
      <w:r>
        <w:rPr>
          <w:rFonts w:ascii="DejaVu Sans Mono" w:hAnsi="DejaVu Sans Mono"/>
          <w:b w:val="0"/>
          <w:i w:val="0"/>
          <w:sz w:val="17"/>
        </w:rPr>
        <w:t>lon</w:t>
      </w:r>
      <w:r>
        <w:rPr>
          <w:b w:val="0"/>
          <w:i w:val="0"/>
        </w:rPr>
        <w:t xml:space="preserve"> are supplied by </w:t>
      </w:r>
      <w:r>
        <w:rPr>
          <w:rFonts w:ascii="DejaVu Sans Mono" w:hAnsi="DejaVu Sans Mono"/>
          <w:b w:val="0"/>
          <w:i w:val="0"/>
          <w:sz w:val="17"/>
        </w:rPr>
        <w:t>fleet.locations</w:t>
      </w:r>
      <w:r>
        <w:rPr>
          <w:b w:val="0"/>
          <w:i w:val="0"/>
        </w:rPr>
        <w:t xml:space="preserve">; </w:t>
      </w:r>
      <w:r>
        <w:rPr>
          <w:rFonts w:ascii="DejaVu Sans Mono" w:hAnsi="DejaVu Sans Mono"/>
          <w:b w:val="0"/>
          <w:i w:val="0"/>
          <w:sz w:val="17"/>
        </w:rPr>
        <w:t>representative_sites</w:t>
      </w:r>
      <w:r>
        <w:rPr>
          <w:b w:val="0"/>
          <w:i w:val="0"/>
        </w:rPr>
        <w:t xml:space="preserve"> matches those locations to the generator names in </w:t>
      </w:r>
      <w:r>
        <w:rPr>
          <w:rFonts w:ascii="DejaVu Sans Mono" w:hAnsi="DejaVu Sans Mono"/>
          <w:b w:val="0"/>
          <w:i w:val="0"/>
          <w:sz w:val="17"/>
        </w:rPr>
        <w:t>fleet.json</w:t>
      </w:r>
      <w:r>
        <w:rPr>
          <w:b w:val="0"/>
          <w:i w:val="0"/>
        </w:rPr>
        <w:t>.</w:t>
      </w:r>
    </w:p>
    <w:p>
      <w:pPr>
        <w:pStyle w:val="Heading2"/>
      </w:pPr>
      <w:r>
        <w:rPr>
          <w:b w:val="0"/>
          <w:i w:val="0"/>
        </w:rPr>
        <w:t>Hourly weather and half-hour dispatch</w:t>
      </w:r>
    </w:p>
    <w:p>
      <w:pPr>
        <w:keepNext/>
      </w:pPr>
      <w:r>
        <w:rPr>
          <w:b w:val="0"/>
          <w:i w:val="0"/>
        </w:rPr>
        <w:t xml:space="preserve">Weather values are assigned according to the physical meaning of their timestamps. The default weather method has </w:t>
      </w:r>
      <w:r>
        <w:rPr>
          <w:rFonts w:ascii="DejaVu Sans Mono" w:hAnsi="DejaVu Sans Mono"/>
          <w:b w:val="0"/>
          <w:i w:val="0"/>
          <w:sz w:val="17"/>
        </w:rPr>
        <w:t>clock="v2"</w:t>
      </w:r>
      <w:r>
        <w:rPr>
          <w:b w:val="0"/>
          <w:i w:val="0"/>
        </w:rPr>
        <w:t xml:space="preserve">. A binding's </w:t>
      </w:r>
      <w:r>
        <w:rPr>
          <w:rFonts w:ascii="DejaVu Sans Mono" w:hAnsi="DejaVu Sans Mono"/>
          <w:b w:val="0"/>
          <w:i w:val="0"/>
          <w:sz w:val="17"/>
        </w:rPr>
        <w:t>time_convention</w:t>
      </w:r>
      <w:r>
        <w:rPr>
          <w:b w:val="0"/>
          <w:i w:val="0"/>
        </w:rPr>
        <w:t xml:space="preserve"> takes precedence; otherwise </w:t>
      </w:r>
      <w:r>
        <w:rPr>
          <w:rFonts w:ascii="DejaVu Sans Mono" w:hAnsi="DejaVu Sans Mono"/>
          <w:b w:val="0"/>
          <w:i w:val="0"/>
          <w:sz w:val="17"/>
        </w:rPr>
        <w:t>GRIB_stepType="accum"</w:t>
      </w:r>
      <w:r>
        <w:rPr>
          <w:b w:val="0"/>
          <w:i w:val="0"/>
        </w:rPr>
        <w:t xml:space="preserve"> denotes an accumulation ending at the timestamp, and other fields use the instantaneous convention. </w:t>
      </w:r>
      <w:r>
        <w:rPr>
          <w:rFonts w:ascii="DejaVu Sans Mono" w:hAnsi="DejaVu Sans Mono"/>
          <w:b w:val="0"/>
          <w:i w:val="0"/>
          <w:sz w:val="17"/>
        </w:rPr>
        <w:t>hour_index</w:t>
      </w:r>
      <w:r>
        <w:rPr>
          <w:b w:val="0"/>
          <w:i w:val="0"/>
        </w:rPr>
        <w:t xml:space="preserve"> maps zero-based half-hour index </w:t>
      </w:r>
      <w:r>
        <w:rPr>
          <w:rFonts w:ascii="DejaVu Sans Mono" w:hAnsi="DejaVu Sans Mono"/>
          <w:b w:val="0"/>
          <w:i w:val="0"/>
          <w:sz w:val="17"/>
        </w:rPr>
        <w:t>t</w:t>
      </w:r>
      <w:r>
        <w:rPr>
          <w:b w:val="0"/>
          <w:i w:val="0"/>
        </w:rPr>
        <w:t xml:space="preserve"> to source index </w:t>
      </w:r>
      <w:r>
        <w:rPr>
          <w:rFonts w:ascii="DejaVu Sans Mono" w:hAnsi="DejaVu Sans Mono"/>
          <w:b w:val="0"/>
          <w:i w:val="0"/>
          <w:sz w:val="17"/>
        </w:rPr>
        <w:t>index</w:t>
      </w:r>
      <w:r>
        <w:rPr>
          <w:b w:val="0"/>
          <w:i w:val="0"/>
        </w:rPr>
        <w:t xml:space="preserve">, wrapping after </w:t>
      </w:r>
      <w:r>
        <w:rPr>
          <w:rFonts w:ascii="DejaVu Sans Mono" w:hAnsi="DejaVu Sans Mono"/>
          <w:b w:val="0"/>
          <w:i w:val="0"/>
          <w:sz w:val="17"/>
        </w:rPr>
        <w:t>hours</w:t>
      </w:r>
      <w:r>
        <w:rPr>
          <w:b w:val="0"/>
          <w:i w:val="0"/>
        </w:rPr>
        <w:t xml:space="preserve"> source values:</w:t>
      </w:r>
    </w:p>
    <w:p>
      <w:pPr>
        <w:spacing w:after="160"/>
        <w:jc w:val="center"/>
      </w:pPr>
      <w:r>
        <w:drawing>
          <wp:inline xmlns:a="http://schemas.openxmlformats.org/drawingml/2006/main" xmlns:pic="http://schemas.openxmlformats.org/drawingml/2006/picture">
            <wp:extent cx="4947894" cy="413849"/>
            <wp:docPr id="13" name="Picture 13"/>
            <wp:cNvGraphicFramePr>
              <a:graphicFrameLocks noChangeAspect="1"/>
            </wp:cNvGraphicFramePr>
            <a:graphic>
              <a:graphicData uri="http://schemas.openxmlformats.org/drawingml/2006/picture">
                <pic:pic>
                  <pic:nvPicPr>
                    <pic:cNvPr id="0" name="eq-013.png"/>
                    <pic:cNvPicPr/>
                  </pic:nvPicPr>
                  <pic:blipFill>
                    <a:blip r:embed="rId23"/>
                    <a:stretch>
                      <a:fillRect/>
                    </a:stretch>
                  </pic:blipFill>
                  <pic:spPr>
                    <a:xfrm>
                      <a:off x="0" y="0"/>
                      <a:ext cx="4947894" cy="413849"/>
                    </a:xfrm>
                    <a:prstGeom prst="rect"/>
                  </pic:spPr>
                </pic:pic>
              </a:graphicData>
            </a:graphic>
          </wp:inline>
        </w:drawing>
      </w:r>
    </w:p>
    <w:p>
      <w:r>
        <w:rPr>
          <w:b w:val="0"/>
          <w:i w:val="0"/>
        </w:rPr>
        <w:t>An hourly accumulation ending at 01:00 supplies the periods beginning at 00:00 and 00:30. The instantaneous rule assigns the sample at 00:00 to the period beginning at 00:00, and the sample at 01:00 to the periods beginning at 00:30 and 01:00. Solar geometry is evaluated at each receiving period's midpoint.</w:t>
      </w:r>
    </w:p>
    <w:p>
      <w:r>
        <w:rPr>
          <w:b w:val="0"/>
          <w:i w:val="0"/>
        </w:rPr>
        <w:t xml:space="preserve">The R029 calendar-mean files declare instantaneous inputs, so they use the second row of the index rule. The supported </w:t>
      </w:r>
      <w:r>
        <w:rPr>
          <w:rFonts w:ascii="DejaVu Sans Mono" w:hAnsi="DejaVu Sans Mono"/>
          <w:b w:val="0"/>
          <w:i w:val="0"/>
          <w:sz w:val="17"/>
        </w:rPr>
        <w:t>clock="v1"</w:t>
      </w:r>
      <w:r>
        <w:rPr>
          <w:b w:val="0"/>
          <w:i w:val="0"/>
        </w:rPr>
        <w:t xml:space="preserve"> setting instead uses </w:t>
      </w:r>
      <w:r>
        <w:rPr>
          <w:rFonts w:ascii="DejaVu Sans Mono" w:hAnsi="DejaVu Sans Mono"/>
          <w:b w:val="0"/>
          <w:i w:val="0"/>
          <w:sz w:val="17"/>
        </w:rPr>
        <w:t>index = (t // 2) % hours</w:t>
      </w:r>
      <w:r>
        <w:rPr>
          <w:b w:val="0"/>
          <w:i w:val="0"/>
        </w:rPr>
        <w:t>: each source value serves two consecutive half-hours. These index rules apply to the declared source order, including the wrap from the final source hour to the first.</w:t>
      </w:r>
    </w:p>
    <w:p>
      <w:pPr>
        <w:pStyle w:val="Heading2"/>
      </w:pPr>
      <w:r>
        <w:rPr>
          <w:b w:val="0"/>
          <w:i w:val="0"/>
        </w:rPr>
        <w:t>Wind power curve and losses</w:t>
      </w:r>
    </w:p>
    <w:p>
      <w:pPr>
        <w:keepNext/>
      </w:pPr>
      <w:r>
        <w:rPr>
          <w:b w:val="0"/>
          <w:i w:val="0"/>
        </w:rPr>
        <w:t xml:space="preserve">Wind availability follows a cut-in speed of 3 m/s, cubic growth to rated output, constant rated output and a cut-out limit. </w:t>
      </w:r>
      <w:r>
        <w:rPr>
          <w:rFonts w:ascii="DejaVu Sans Mono" w:hAnsi="DejaVu Sans Mono"/>
          <w:b w:val="0"/>
          <w:i w:val="0"/>
          <w:sz w:val="17"/>
        </w:rPr>
        <w:t>hourly_unit_cf</w:t>
      </w:r>
      <w:r>
        <w:rPr>
          <w:b w:val="0"/>
          <w:i w:val="0"/>
        </w:rPr>
        <w:t xml:space="preserve"> reads </w:t>
      </w:r>
      <w:r>
        <w:rPr>
          <w:rFonts w:ascii="DejaVu Sans Mono" w:hAnsi="DejaVu Sans Mono"/>
          <w:b w:val="0"/>
          <w:i w:val="0"/>
          <w:sz w:val="17"/>
        </w:rPr>
        <w:t>wind_speed</w:t>
      </w:r>
      <w:r>
        <w:rPr>
          <w:b w:val="0"/>
          <w:i w:val="0"/>
        </w:rPr>
        <w:t xml:space="preserve"> when that variable is present; otherwise it forms the magnitude from </w:t>
      </w:r>
      <w:r>
        <w:rPr>
          <w:rFonts w:ascii="DejaVu Sans Mono" w:hAnsi="DejaVu Sans Mono"/>
          <w:b w:val="0"/>
          <w:i w:val="0"/>
          <w:sz w:val="17"/>
        </w:rPr>
        <w:t>u100</w:t>
      </w:r>
      <w:r>
        <w:rPr>
          <w:b w:val="0"/>
          <w:i w:val="0"/>
        </w:rPr>
        <w:t xml:space="preserve"> and </w:t>
      </w:r>
      <w:r>
        <w:rPr>
          <w:rFonts w:ascii="DejaVu Sans Mono" w:hAnsi="DejaVu Sans Mono"/>
          <w:b w:val="0"/>
          <w:i w:val="0"/>
          <w:sz w:val="17"/>
        </w:rPr>
        <w:t>v100</w:t>
      </w:r>
      <w:r>
        <w:rPr>
          <w:b w:val="0"/>
          <w:i w:val="0"/>
        </w:rPr>
        <w:t xml:space="preserve">. </w:t>
      </w:r>
      <w:r>
        <w:rPr>
          <w:rFonts w:ascii="DejaVu Sans Mono" w:hAnsi="DejaVu Sans Mono"/>
          <w:b w:val="0"/>
          <w:i w:val="0"/>
          <w:sz w:val="17"/>
        </w:rPr>
        <w:t>wind_unit_output</w:t>
      </w:r>
      <w:r>
        <w:rPr>
          <w:b w:val="0"/>
          <w:i w:val="0"/>
        </w:rPr>
        <w:t xml:space="preserve"> uses a 20-unit output scale and its result is divided by 20 to obtain the dimensionless hourly coefficient </w:t>
      </w:r>
      <w:r>
        <w:rPr>
          <w:rFonts w:ascii="DejaVu Sans Mono" w:hAnsi="DejaVu Sans Mono"/>
          <w:b w:val="0"/>
          <w:i w:val="0"/>
          <w:sz w:val="17"/>
        </w:rPr>
        <w:t>hourly</w:t>
      </w:r>
      <w:r>
        <w:rPr>
          <w:b w:val="0"/>
          <w:i w:val="0"/>
        </w:rPr>
        <w:t xml:space="preserve">. For speed </w:t>
      </w:r>
      <w:r>
        <w:rPr>
          <w:rFonts w:ascii="DejaVu Sans Mono" w:hAnsi="DejaVu Sans Mono"/>
          <w:b w:val="0"/>
          <w:i w:val="0"/>
          <w:sz w:val="17"/>
        </w:rPr>
        <w:t>speed</w:t>
      </w:r>
      <w:r>
        <w:rPr>
          <w:b w:val="0"/>
          <w:i w:val="0"/>
        </w:rPr>
        <w:t xml:space="preserve">, rated speed </w:t>
      </w:r>
      <w:r>
        <w:rPr>
          <w:rFonts w:ascii="DejaVu Sans Mono" w:hAnsi="DejaVu Sans Mono"/>
          <w:b w:val="0"/>
          <w:i w:val="0"/>
          <w:sz w:val="17"/>
        </w:rPr>
        <w:t>rated</w:t>
      </w:r>
      <w:r>
        <w:rPr>
          <w:b w:val="0"/>
          <w:i w:val="0"/>
        </w:rPr>
        <w:t xml:space="preserve"> and cut-out speed </w:t>
      </w:r>
      <w:r>
        <w:rPr>
          <w:rFonts w:ascii="DejaVu Sans Mono" w:hAnsi="DejaVu Sans Mono"/>
          <w:b w:val="0"/>
          <w:i w:val="0"/>
          <w:sz w:val="17"/>
        </w:rPr>
        <w:t>cut_out</w:t>
      </w:r>
      <w:r>
        <w:rPr>
          <w:b w:val="0"/>
          <w:i w:val="0"/>
        </w:rPr>
        <w:t>, all in m/s,</w:t>
      </w:r>
    </w:p>
    <w:p>
      <w:pPr>
        <w:spacing w:after="160"/>
        <w:jc w:val="center"/>
      </w:pPr>
      <w:r>
        <w:drawing>
          <wp:inline xmlns:a="http://schemas.openxmlformats.org/drawingml/2006/main" xmlns:pic="http://schemas.openxmlformats.org/drawingml/2006/picture">
            <wp:extent cx="6170066" cy="820694"/>
            <wp:docPr id="14" name="Picture 14"/>
            <wp:cNvGraphicFramePr>
              <a:graphicFrameLocks noChangeAspect="1"/>
            </wp:cNvGraphicFramePr>
            <a:graphic>
              <a:graphicData uri="http://schemas.openxmlformats.org/drawingml/2006/picture">
                <pic:pic>
                  <pic:nvPicPr>
                    <pic:cNvPr id="0" name="eq-014.png"/>
                    <pic:cNvPicPr/>
                  </pic:nvPicPr>
                  <pic:blipFill>
                    <a:blip r:embed="rId24"/>
                    <a:stretch>
                      <a:fillRect/>
                    </a:stretch>
                  </pic:blipFill>
                  <pic:spPr>
                    <a:xfrm>
                      <a:off x="0" y="0"/>
                      <a:ext cx="6170066" cy="820694"/>
                    </a:xfrm>
                    <a:prstGeom prst="rect"/>
                  </pic:spPr>
                </pic:pic>
              </a:graphicData>
            </a:graphic>
          </wp:inline>
        </w:drawing>
      </w:r>
    </w:p>
    <w:p>
      <w:r>
        <w:rPr>
          <w:b w:val="0"/>
          <w:i w:val="0"/>
        </w:rPr>
        <w:t xml:space="preserve">Onshore wind uses </w:t>
      </w:r>
      <w:r>
        <w:rPr>
          <w:rFonts w:ascii="DejaVu Sans Mono" w:hAnsi="DejaVu Sans Mono"/>
          <w:b w:val="0"/>
          <w:i w:val="0"/>
          <w:sz w:val="17"/>
        </w:rPr>
        <w:t>rated=9.7</w:t>
      </w:r>
      <w:r>
        <w:rPr>
          <w:b w:val="0"/>
          <w:i w:val="0"/>
        </w:rPr>
        <w:t xml:space="preserve"> and </w:t>
      </w:r>
      <w:r>
        <w:rPr>
          <w:rFonts w:ascii="DejaVu Sans Mono" w:hAnsi="DejaVu Sans Mono"/>
          <w:b w:val="0"/>
          <w:i w:val="0"/>
          <w:sz w:val="17"/>
        </w:rPr>
        <w:t>cut_out=25</w:t>
      </w:r>
      <w:r>
        <w:rPr>
          <w:b w:val="0"/>
          <w:i w:val="0"/>
        </w:rPr>
        <w:t xml:space="preserve">; offshore wind uses </w:t>
      </w:r>
      <w:r>
        <w:rPr>
          <w:rFonts w:ascii="DejaVu Sans Mono" w:hAnsi="DejaVu Sans Mono"/>
          <w:b w:val="0"/>
          <w:i w:val="0"/>
          <w:sz w:val="17"/>
        </w:rPr>
        <w:t>rated=10.5</w:t>
      </w:r>
      <w:r>
        <w:rPr>
          <w:b w:val="0"/>
          <w:i w:val="0"/>
        </w:rPr>
        <w:t xml:space="preserve"> and </w:t>
      </w:r>
      <w:r>
        <w:rPr>
          <w:rFonts w:ascii="DejaVu Sans Mono" w:hAnsi="DejaVu Sans Mono"/>
          <w:b w:val="0"/>
          <w:i w:val="0"/>
          <w:sz w:val="17"/>
        </w:rPr>
        <w:t>cut_out=30</w:t>
      </w:r>
      <w:r>
        <w:rPr>
          <w:b w:val="0"/>
          <w:i w:val="0"/>
        </w:rPr>
        <w:t xml:space="preserve">. Output equals the rated value at the cut-out speed and falls to zero above it. The cubic segment is bounded to the 0–20 range before conversion to </w:t>
      </w:r>
      <w:r>
        <w:rPr>
          <w:rFonts w:ascii="DejaVu Sans Mono" w:hAnsi="DejaVu Sans Mono"/>
          <w:b w:val="0"/>
          <w:i w:val="0"/>
          <w:sz w:val="17"/>
        </w:rPr>
        <w:t>hourly</w:t>
      </w:r>
      <w:r>
        <w:rPr>
          <w:b w:val="0"/>
          <w:i w:val="0"/>
        </w:rPr>
        <w:t>.</w:t>
      </w:r>
    </w:p>
    <w:p>
      <w:r>
        <w:rPr>
          <w:b w:val="0"/>
          <w:i w:val="0"/>
        </w:rPr>
        <w:t xml:space="preserve">The delivered wind coefficient multiplies the assigned </w:t>
      </w:r>
      <w:r>
        <w:rPr>
          <w:rFonts w:ascii="DejaVu Sans Mono" w:hAnsi="DejaVu Sans Mono"/>
          <w:b w:val="0"/>
          <w:i w:val="0"/>
          <w:sz w:val="17"/>
        </w:rPr>
        <w:t>hourly[index]</w:t>
      </w:r>
      <w:r>
        <w:rPr>
          <w:b w:val="0"/>
          <w:i w:val="0"/>
        </w:rPr>
        <w:t xml:space="preserve"> by the product of wake, energy-availability and electrical factors. </w:t>
      </w:r>
      <w:r>
        <w:rPr>
          <w:rFonts w:ascii="DejaVu Sans Mono" w:hAnsi="DejaVu Sans Mono"/>
          <w:b w:val="0"/>
          <w:i w:val="0"/>
          <w:sz w:val="17"/>
        </w:rPr>
        <w:t>method.multiplier(technology)</w:t>
      </w:r>
      <w:r>
        <w:rPr>
          <w:b w:val="0"/>
          <w:i w:val="0"/>
        </w:rPr>
        <w:t xml:space="preserve"> reads the following values from </w:t>
      </w:r>
      <w:r>
        <w:rPr>
          <w:rFonts w:ascii="DejaVu Sans Mono" w:hAnsi="DejaVu Sans Mono"/>
          <w:b w:val="0"/>
          <w:i w:val="0"/>
          <w:sz w:val="17"/>
        </w:rPr>
        <w:t>value_​uk_​vre_​loss_​factors_​v1.json</w:t>
      </w:r>
      <w:r>
        <w:rPr>
          <w:b w:val="0"/>
          <w:i w:val="0"/>
        </w:rPr>
        <w:t xml:space="preserve"> when </w:t>
      </w:r>
      <w:r>
        <w:rPr>
          <w:rFonts w:ascii="DejaVu Sans Mono" w:hAnsi="DejaVu Sans Mono"/>
          <w:b w:val="0"/>
          <w:i w:val="0"/>
          <w:sz w:val="17"/>
        </w:rPr>
        <w:t>loss_factors=true</w:t>
      </w:r>
      <w:r>
        <w:rPr>
          <w:b w:val="0"/>
          <w:i w:val="0"/>
        </w:rPr>
        <w:t>, the default setting:</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52"/>
        <w:gridCol w:w="1746"/>
        <w:gridCol w:w="2451"/>
        <w:gridCol w:w="2050"/>
        <w:gridCol w:w="1691"/>
      </w:tblGrid>
      <w:tr>
        <w:trPr>
          <w:cantSplit/>
          <w:tblHeader w:val="true"/>
        </w:trPr>
        <w:tc>
          <w:tcPr>
            <w:tcW w:type="dxa" w:w="1852"/>
            <w:vAlign w:val="center"/>
            <w:tcMar>
              <w:top w:w="90" w:type="dxa"/>
              <w:left w:w="90" w:type="dxa"/>
              <w:bottom w:w="90" w:type="dxa"/>
              <w:right w:w="90" w:type="dxa"/>
            </w:tcMar>
            <w:shd w:fill="EEEEEE"/>
          </w:tcPr>
          <w:p>
            <w:pPr>
              <w:spacing w:after="40" w:line="276" w:lineRule="auto"/>
            </w:pPr>
            <w:r>
              <w:rPr>
                <w:b/>
                <w:i w:val="0"/>
                <w:sz w:val="18"/>
              </w:rPr>
              <w:t>Technology</w:t>
            </w:r>
          </w:p>
        </w:tc>
        <w:tc>
          <w:tcPr>
            <w:tcW w:type="dxa" w:w="1746"/>
            <w:vAlign w:val="center"/>
            <w:tcMar>
              <w:top w:w="90" w:type="dxa"/>
              <w:left w:w="90" w:type="dxa"/>
              <w:bottom w:w="90" w:type="dxa"/>
              <w:right w:w="90" w:type="dxa"/>
            </w:tcMar>
            <w:shd w:fill="EEEEEE"/>
          </w:tcPr>
          <w:p>
            <w:pPr>
              <w:spacing w:after="40" w:line="276" w:lineRule="auto"/>
            </w:pPr>
            <w:r>
              <w:rPr>
                <w:b/>
                <w:i w:val="0"/>
                <w:sz w:val="18"/>
              </w:rPr>
              <w:t>Wake factor</w:t>
            </w:r>
          </w:p>
        </w:tc>
        <w:tc>
          <w:tcPr>
            <w:tcW w:type="dxa" w:w="2451"/>
            <w:vAlign w:val="center"/>
            <w:tcMar>
              <w:top w:w="90" w:type="dxa"/>
              <w:left w:w="90" w:type="dxa"/>
              <w:bottom w:w="90" w:type="dxa"/>
              <w:right w:w="90" w:type="dxa"/>
            </w:tcMar>
            <w:shd w:fill="EEEEEE"/>
          </w:tcPr>
          <w:p>
            <w:pPr>
              <w:spacing w:after="40" w:line="276" w:lineRule="auto"/>
            </w:pPr>
            <w:r>
              <w:rPr>
                <w:b/>
                <w:i w:val="0"/>
                <w:sz w:val="18"/>
              </w:rPr>
              <w:t>Energy-availability factor</w:t>
            </w:r>
          </w:p>
        </w:tc>
        <w:tc>
          <w:tcPr>
            <w:tcW w:type="dxa" w:w="2050"/>
            <w:vAlign w:val="center"/>
            <w:tcMar>
              <w:top w:w="90" w:type="dxa"/>
              <w:left w:w="90" w:type="dxa"/>
              <w:bottom w:w="90" w:type="dxa"/>
              <w:right w:w="90" w:type="dxa"/>
            </w:tcMar>
            <w:shd w:fill="EEEEEE"/>
          </w:tcPr>
          <w:p>
            <w:pPr>
              <w:spacing w:after="40" w:line="276" w:lineRule="auto"/>
            </w:pPr>
            <w:r>
              <w:rPr>
                <w:b/>
                <w:i w:val="0"/>
                <w:sz w:val="18"/>
              </w:rPr>
              <w:t>Electrical factor</w:t>
            </w:r>
          </w:p>
        </w:tc>
        <w:tc>
          <w:tcPr>
            <w:tcW w:type="dxa" w:w="1691"/>
            <w:vAlign w:val="center"/>
            <w:tcMar>
              <w:top w:w="90" w:type="dxa"/>
              <w:left w:w="90" w:type="dxa"/>
              <w:bottom w:w="90" w:type="dxa"/>
              <w:right w:w="90" w:type="dxa"/>
            </w:tcMar>
            <w:shd w:fill="EEEEEE"/>
          </w:tcPr>
          <w:p>
            <w:pPr>
              <w:spacing w:after="40" w:line="276" w:lineRule="auto"/>
            </w:pPr>
            <w:r>
              <w:rPr>
                <w:rFonts w:ascii="DejaVu Sans Mono" w:hAnsi="DejaVu Sans Mono"/>
                <w:b/>
                <w:i w:val="0"/>
                <w:sz w:val="18"/>
              </w:rPr>
              <w:t>multiplier</w:t>
            </w:r>
          </w:p>
        </w:tc>
      </w:tr>
      <w:tr>
        <w:trPr>
          <w:cantSplit/>
        </w:trPr>
        <w:tc>
          <w:tcPr>
            <w:tcW w:type="dxa" w:w="1852"/>
            <w:vAlign w:val="center"/>
            <w:tcMar>
              <w:top w:w="90" w:type="dxa"/>
              <w:left w:w="90" w:type="dxa"/>
              <w:bottom w:w="90" w:type="dxa"/>
              <w:right w:w="90" w:type="dxa"/>
            </w:tcMar>
          </w:tcPr>
          <w:p>
            <w:pPr>
              <w:spacing w:after="40" w:line="276" w:lineRule="auto"/>
            </w:pPr>
            <w:r>
              <w:rPr>
                <w:b w:val="0"/>
                <w:i w:val="0"/>
                <w:sz w:val="18"/>
              </w:rPr>
              <w:t>Onshore wind</w:t>
            </w:r>
          </w:p>
        </w:tc>
        <w:tc>
          <w:tcPr>
            <w:tcW w:type="dxa" w:w="1746"/>
            <w:vAlign w:val="center"/>
            <w:tcMar>
              <w:top w:w="90" w:type="dxa"/>
              <w:left w:w="90" w:type="dxa"/>
              <w:bottom w:w="90" w:type="dxa"/>
              <w:right w:w="90" w:type="dxa"/>
            </w:tcMar>
          </w:tcPr>
          <w:p>
            <w:pPr>
              <w:spacing w:after="40" w:line="276" w:lineRule="auto"/>
            </w:pPr>
            <w:r>
              <w:rPr>
                <w:b w:val="0"/>
                <w:i w:val="0"/>
                <w:sz w:val="18"/>
              </w:rPr>
              <w:t>0.95</w:t>
            </w:r>
          </w:p>
        </w:tc>
        <w:tc>
          <w:tcPr>
            <w:tcW w:type="dxa" w:w="2451"/>
            <w:vAlign w:val="center"/>
            <w:tcMar>
              <w:top w:w="90" w:type="dxa"/>
              <w:left w:w="90" w:type="dxa"/>
              <w:bottom w:w="90" w:type="dxa"/>
              <w:right w:w="90" w:type="dxa"/>
            </w:tcMar>
          </w:tcPr>
          <w:p>
            <w:pPr>
              <w:spacing w:after="40" w:line="276" w:lineRule="auto"/>
            </w:pPr>
            <w:r>
              <w:rPr>
                <w:b w:val="0"/>
                <w:i w:val="0"/>
                <w:sz w:val="18"/>
              </w:rPr>
              <w:t>0.97</w:t>
            </w:r>
          </w:p>
        </w:tc>
        <w:tc>
          <w:tcPr>
            <w:tcW w:type="dxa" w:w="2050"/>
            <w:vAlign w:val="center"/>
            <w:tcMar>
              <w:top w:w="90" w:type="dxa"/>
              <w:left w:w="90" w:type="dxa"/>
              <w:bottom w:w="90" w:type="dxa"/>
              <w:right w:w="90" w:type="dxa"/>
            </w:tcMar>
          </w:tcPr>
          <w:p>
            <w:pPr>
              <w:spacing w:after="40" w:line="276" w:lineRule="auto"/>
            </w:pPr>
            <w:r>
              <w:rPr>
                <w:b w:val="0"/>
                <w:i w:val="0"/>
                <w:sz w:val="18"/>
              </w:rPr>
              <w:t>0.98</w:t>
            </w:r>
          </w:p>
        </w:tc>
        <w:tc>
          <w:tcPr>
            <w:tcW w:type="dxa" w:w="1691"/>
            <w:vAlign w:val="center"/>
            <w:tcMar>
              <w:top w:w="90" w:type="dxa"/>
              <w:left w:w="90" w:type="dxa"/>
              <w:bottom w:w="90" w:type="dxa"/>
              <w:right w:w="90" w:type="dxa"/>
            </w:tcMar>
          </w:tcPr>
          <w:p>
            <w:pPr>
              <w:spacing w:after="40" w:line="276" w:lineRule="auto"/>
            </w:pPr>
            <w:r>
              <w:rPr>
                <w:b w:val="0"/>
                <w:i w:val="0"/>
                <w:sz w:val="18"/>
              </w:rPr>
              <w:t>0.90307</w:t>
            </w:r>
          </w:p>
        </w:tc>
      </w:tr>
      <w:tr>
        <w:trPr>
          <w:cantSplit/>
        </w:trPr>
        <w:tc>
          <w:tcPr>
            <w:tcW w:type="dxa" w:w="1852"/>
            <w:vAlign w:val="center"/>
            <w:tcMar>
              <w:top w:w="90" w:type="dxa"/>
              <w:left w:w="90" w:type="dxa"/>
              <w:bottom w:w="90" w:type="dxa"/>
              <w:right w:w="90" w:type="dxa"/>
            </w:tcMar>
          </w:tcPr>
          <w:p>
            <w:pPr>
              <w:spacing w:after="40" w:line="276" w:lineRule="auto"/>
            </w:pPr>
            <w:r>
              <w:rPr>
                <w:b w:val="0"/>
                <w:i w:val="0"/>
                <w:sz w:val="18"/>
              </w:rPr>
              <w:t>Offshore wind</w:t>
            </w:r>
          </w:p>
        </w:tc>
        <w:tc>
          <w:tcPr>
            <w:tcW w:type="dxa" w:w="1746"/>
            <w:vAlign w:val="center"/>
            <w:tcMar>
              <w:top w:w="90" w:type="dxa"/>
              <w:left w:w="90" w:type="dxa"/>
              <w:bottom w:w="90" w:type="dxa"/>
              <w:right w:w="90" w:type="dxa"/>
            </w:tcMar>
          </w:tcPr>
          <w:p>
            <w:pPr>
              <w:spacing w:after="40" w:line="276" w:lineRule="auto"/>
            </w:pPr>
            <w:r>
              <w:rPr>
                <w:b w:val="0"/>
                <w:i w:val="0"/>
                <w:sz w:val="18"/>
              </w:rPr>
              <w:t>0.88</w:t>
            </w:r>
          </w:p>
        </w:tc>
        <w:tc>
          <w:tcPr>
            <w:tcW w:type="dxa" w:w="2451"/>
            <w:vAlign w:val="center"/>
            <w:tcMar>
              <w:top w:w="90" w:type="dxa"/>
              <w:left w:w="90" w:type="dxa"/>
              <w:bottom w:w="90" w:type="dxa"/>
              <w:right w:w="90" w:type="dxa"/>
            </w:tcMar>
          </w:tcPr>
          <w:p>
            <w:pPr>
              <w:spacing w:after="40" w:line="276" w:lineRule="auto"/>
            </w:pPr>
            <w:r>
              <w:rPr>
                <w:b w:val="0"/>
                <w:i w:val="0"/>
                <w:sz w:val="18"/>
              </w:rPr>
              <w:t>0.945</w:t>
            </w:r>
          </w:p>
        </w:tc>
        <w:tc>
          <w:tcPr>
            <w:tcW w:type="dxa" w:w="2050"/>
            <w:vAlign w:val="center"/>
            <w:tcMar>
              <w:top w:w="90" w:type="dxa"/>
              <w:left w:w="90" w:type="dxa"/>
              <w:bottom w:w="90" w:type="dxa"/>
              <w:right w:w="90" w:type="dxa"/>
            </w:tcMar>
          </w:tcPr>
          <w:p>
            <w:pPr>
              <w:spacing w:after="40" w:line="276" w:lineRule="auto"/>
            </w:pPr>
            <w:r>
              <w:rPr>
                <w:b w:val="0"/>
                <w:i w:val="0"/>
                <w:sz w:val="18"/>
              </w:rPr>
              <w:t>0.98</w:t>
            </w:r>
          </w:p>
        </w:tc>
        <w:tc>
          <w:tcPr>
            <w:tcW w:type="dxa" w:w="1691"/>
            <w:vAlign w:val="center"/>
            <w:tcMar>
              <w:top w:w="90" w:type="dxa"/>
              <w:left w:w="90" w:type="dxa"/>
              <w:bottom w:w="90" w:type="dxa"/>
              <w:right w:w="90" w:type="dxa"/>
            </w:tcMar>
          </w:tcPr>
          <w:p>
            <w:pPr>
              <w:spacing w:after="40" w:line="276" w:lineRule="auto"/>
            </w:pPr>
            <w:r>
              <w:rPr>
                <w:b w:val="0"/>
                <w:i w:val="0"/>
                <w:sz w:val="18"/>
              </w:rPr>
              <w:t>0.814968</w:t>
            </w:r>
          </w:p>
        </w:tc>
      </w:tr>
    </w:tbl>
    <w:p>
      <w:pPr>
        <w:spacing w:after="20"/>
      </w:pPr>
    </w:p>
    <w:p>
      <w:r>
        <w:rPr>
          <w:b w:val="0"/>
          <w:i w:val="0"/>
        </w:rPr>
        <w:t xml:space="preserve">At 8 m/s the onshore curve gives 0.5476061707. Multiplication by 0.90307 gives approximately 0.49453, corresponding to 49.453 MW of available power from 100 MW of installed capacity. The supported setting </w:t>
      </w:r>
      <w:r>
        <w:rPr>
          <w:rFonts w:ascii="DejaVu Sans Mono" w:hAnsi="DejaVu Sans Mono"/>
          <w:b w:val="0"/>
          <w:i w:val="0"/>
          <w:sz w:val="17"/>
        </w:rPr>
        <w:t>loss_factors=false</w:t>
      </w:r>
      <w:r>
        <w:rPr>
          <w:b w:val="0"/>
          <w:i w:val="0"/>
        </w:rPr>
        <w:t xml:space="preserve"> sets </w:t>
      </w:r>
      <w:r>
        <w:rPr>
          <w:rFonts w:ascii="DejaVu Sans Mono" w:hAnsi="DejaVu Sans Mono"/>
          <w:b w:val="0"/>
          <w:i w:val="0"/>
          <w:sz w:val="17"/>
        </w:rPr>
        <w:t>multiplier=1.0</w:t>
      </w:r>
      <w:r>
        <w:rPr>
          <w:b w:val="0"/>
          <w:i w:val="0"/>
        </w:rPr>
        <w:t xml:space="preserve"> and uses the curve output directly.</w:t>
      </w:r>
    </w:p>
    <w:p>
      <w:pPr>
        <w:pStyle w:val="Heading2"/>
      </w:pPr>
      <w:r>
        <w:rPr>
          <w:b w:val="0"/>
          <w:i w:val="0"/>
        </w:rPr>
        <w:t>Horizontal radiation and solar conversion</w:t>
      </w:r>
    </w:p>
    <w:p>
      <w:pPr>
        <w:keepNext/>
      </w:pPr>
      <w:r>
        <w:rPr>
          <w:b w:val="0"/>
          <w:i w:val="0"/>
        </w:rPr>
        <w:t xml:space="preserve">Solar conversion first expresses each source-hour radiation value as irradiance. </w:t>
      </w:r>
      <w:r>
        <w:rPr>
          <w:rFonts w:ascii="DejaVu Sans Mono" w:hAnsi="DejaVu Sans Mono"/>
          <w:b w:val="0"/>
          <w:i w:val="0"/>
          <w:sz w:val="17"/>
        </w:rPr>
        <w:t>hourly_unit_cf</w:t>
      </w:r>
      <w:r>
        <w:rPr>
          <w:b w:val="0"/>
          <w:i w:val="0"/>
        </w:rPr>
        <w:t xml:space="preserve"> reads </w:t>
      </w:r>
      <w:r>
        <w:rPr>
          <w:rFonts w:ascii="DejaVu Sans Mono" w:hAnsi="DejaVu Sans Mono"/>
          <w:b w:val="0"/>
          <w:i w:val="0"/>
          <w:sz w:val="17"/>
        </w:rPr>
        <w:t>ssrd</w:t>
      </w:r>
      <w:r>
        <w:rPr>
          <w:b w:val="0"/>
          <w:i w:val="0"/>
        </w:rPr>
        <w:t xml:space="preserve"> as </w:t>
      </w:r>
      <w:r>
        <w:rPr>
          <w:rFonts w:ascii="DejaVu Sans Mono" w:hAnsi="DejaVu Sans Mono"/>
          <w:b w:val="0"/>
          <w:i w:val="0"/>
          <w:sz w:val="17"/>
        </w:rPr>
        <w:t>raw</w:t>
      </w:r>
      <w:r>
        <w:rPr>
          <w:b w:val="0"/>
          <w:i w:val="0"/>
        </w:rPr>
        <w:t xml:space="preserve"> in J/m² and returns </w:t>
      </w:r>
      <w:r>
        <w:rPr>
          <w:rFonts w:ascii="DejaVu Sans Mono" w:hAnsi="DejaVu Sans Mono"/>
          <w:b w:val="0"/>
          <w:i w:val="0"/>
          <w:sz w:val="17"/>
        </w:rPr>
        <w:t>hourly</w:t>
      </w:r>
      <w:r>
        <w:rPr>
          <w:b w:val="0"/>
          <w:i w:val="0"/>
        </w:rPr>
        <w:t xml:space="preserve"> in kW/m². The input filter and unit conversion are</w:t>
      </w:r>
    </w:p>
    <w:p>
      <w:pPr>
        <w:spacing w:after="160"/>
        <w:jc w:val="center"/>
      </w:pPr>
      <w:r>
        <w:drawing>
          <wp:inline xmlns:a="http://schemas.openxmlformats.org/drawingml/2006/main" xmlns:pic="http://schemas.openxmlformats.org/drawingml/2006/picture">
            <wp:extent cx="4136974" cy="413697"/>
            <wp:docPr id="15" name="Picture 15"/>
            <wp:cNvGraphicFramePr>
              <a:graphicFrameLocks noChangeAspect="1"/>
            </wp:cNvGraphicFramePr>
            <a:graphic>
              <a:graphicData uri="http://schemas.openxmlformats.org/drawingml/2006/picture">
                <pic:pic>
                  <pic:nvPicPr>
                    <pic:cNvPr id="0" name="eq-015.png"/>
                    <pic:cNvPicPr/>
                  </pic:nvPicPr>
                  <pic:blipFill>
                    <a:blip r:embed="rId25"/>
                    <a:stretch>
                      <a:fillRect/>
                    </a:stretch>
                  </pic:blipFill>
                  <pic:spPr>
                    <a:xfrm>
                      <a:off x="0" y="0"/>
                      <a:ext cx="4136974" cy="413697"/>
                    </a:xfrm>
                    <a:prstGeom prst="rect"/>
                  </pic:spPr>
                </pic:pic>
              </a:graphicData>
            </a:graphic>
          </wp:inline>
        </w:drawing>
      </w:r>
    </w:p>
    <w:p>
      <w:r>
        <w:rPr>
          <w:b w:val="0"/>
          <w:i w:val="0"/>
        </w:rPr>
        <w:t xml:space="preserve">The default solar method uses </w:t>
      </w:r>
      <w:r>
        <w:rPr>
          <w:rFonts w:ascii="DejaVu Sans Mono" w:hAnsi="DejaVu Sans Mono"/>
          <w:b w:val="0"/>
          <w:i w:val="0"/>
          <w:sz w:val="17"/>
        </w:rPr>
        <w:t>plane_of_array=true</w:t>
      </w:r>
      <w:r>
        <w:rPr>
          <w:b w:val="0"/>
          <w:i w:val="0"/>
        </w:rPr>
        <w:t xml:space="preserve"> and a performance ratio of 0.83. Array-plane conversion applies when </w:t>
      </w:r>
      <w:r>
        <w:rPr>
          <w:rFonts w:ascii="DejaVu Sans Mono" w:hAnsi="DejaVu Sans Mono"/>
          <w:b w:val="0"/>
          <w:i w:val="0"/>
          <w:sz w:val="17"/>
        </w:rPr>
        <w:t>clock="v2"</w:t>
      </w:r>
      <w:r>
        <w:rPr>
          <w:b w:val="0"/>
          <w:i w:val="0"/>
        </w:rPr>
        <w:t xml:space="preserve"> and </w:t>
      </w:r>
      <w:r>
        <w:rPr>
          <w:rFonts w:ascii="DejaVu Sans Mono" w:hAnsi="DejaVu Sans Mono"/>
          <w:b w:val="0"/>
          <w:i w:val="0"/>
          <w:sz w:val="17"/>
        </w:rPr>
        <w:t>time_​convention="accumulation_end_of_hour"</w:t>
      </w:r>
      <w:r>
        <w:rPr>
          <w:b w:val="0"/>
          <w:i w:val="0"/>
        </w:rPr>
        <w:t xml:space="preserve">; it evaluates horizontal irradiance on a south-facing tilted surface at each half-hour midpoint. Instantaneous sources, including R029 and VALUE 101, use horizontal irradiance multiplied by 0.83. With </w:t>
      </w:r>
      <w:r>
        <w:rPr>
          <w:rFonts w:ascii="DejaVu Sans Mono" w:hAnsi="DejaVu Sans Mono"/>
          <w:b w:val="0"/>
          <w:i w:val="0"/>
          <w:sz w:val="17"/>
        </w:rPr>
        <w:t>plane_of_array=false</w:t>
      </w:r>
      <w:r>
        <w:rPr>
          <w:b w:val="0"/>
          <w:i w:val="0"/>
        </w:rPr>
        <w:t xml:space="preserve">, all sources use that horizontal calculation. </w:t>
      </w:r>
      <w:r>
        <w:rPr>
          <w:rFonts w:ascii="DejaVu Sans Mono" w:hAnsi="DejaVu Sans Mono"/>
          <w:b w:val="0"/>
          <w:i w:val="0"/>
          <w:sz w:val="17"/>
        </w:rPr>
        <w:t>loss_factors=false</w:t>
      </w:r>
      <w:r>
        <w:rPr>
          <w:b w:val="0"/>
          <w:i w:val="0"/>
        </w:rPr>
        <w:t xml:space="preserve"> replaces the performance ratio by 1.0.</w:t>
      </w:r>
    </w:p>
    <w:p>
      <w:pPr>
        <w:keepNext/>
      </w:pPr>
      <w:r>
        <w:rPr>
          <w:b w:val="0"/>
          <w:i w:val="0"/>
        </w:rPr>
        <w:t xml:space="preserve">Array tilt is a function of site latitude. The default </w:t>
      </w:r>
      <w:r>
        <w:rPr>
          <w:rFonts w:ascii="DejaVu Sans Mono" w:hAnsi="DejaVu Sans Mono"/>
          <w:b w:val="0"/>
          <w:i w:val="0"/>
          <w:sz w:val="17"/>
        </w:rPr>
        <w:t>tilt_​rule="jacobson-jadhav-2018"</w:t>
      </w:r>
      <w:r>
        <w:rPr>
          <w:b w:val="0"/>
          <w:i w:val="0"/>
        </w:rPr>
        <w:t xml:space="preserve"> evaluates the 0°–65°N polynomial of </w:t>
      </w:r>
      <w:r>
        <w:rPr>
          <w:b w:val="0"/>
          <w:i w:val="0"/>
        </w:rPr>
        <w:t>Jacobson and Jadhav (2018), Solar Energy 169, 55–66</w:t>
      </w:r>
      <w:r>
        <w:rPr>
          <w:b w:val="0"/>
          <w:i w:val="0"/>
        </w:rPr>
        <w:t xml:space="preserve">. In </w:t>
      </w:r>
      <w:r>
        <w:rPr>
          <w:rFonts w:ascii="DejaVu Sans Mono" w:hAnsi="DejaVu Sans Mono"/>
          <w:b w:val="0"/>
          <w:i w:val="0"/>
          <w:sz w:val="17"/>
        </w:rPr>
        <w:t>optimal_​tilt_​jacobson_​jadhav</w:t>
      </w:r>
      <w:r>
        <w:rPr>
          <w:b w:val="0"/>
          <w:i w:val="0"/>
        </w:rPr>
        <w:t xml:space="preserve">, </w:t>
      </w:r>
      <w:r>
        <w:rPr>
          <w:rFonts w:ascii="DejaVu Sans Mono" w:hAnsi="DejaVu Sans Mono"/>
          <w:b w:val="0"/>
          <w:i w:val="0"/>
          <w:sz w:val="17"/>
        </w:rPr>
        <w:t>phi</w:t>
      </w:r>
      <w:r>
        <w:rPr>
          <w:b w:val="0"/>
          <w:i w:val="0"/>
        </w:rPr>
        <w:t xml:space="preserve"> is latitude in degrees north; the returned degrees become </w:t>
      </w:r>
      <w:r>
        <w:rPr>
          <w:rFonts w:ascii="DejaVu Sans Mono" w:hAnsi="DejaVu Sans Mono"/>
          <w:b w:val="0"/>
          <w:i w:val="0"/>
          <w:sz w:val="17"/>
        </w:rPr>
        <w:t>tilt</w:t>
      </w:r>
      <w:r>
        <w:rPr>
          <w:b w:val="0"/>
          <w:i w:val="0"/>
        </w:rPr>
        <w:t xml:space="preserve"> in </w:t>
      </w:r>
      <w:r>
        <w:rPr>
          <w:rFonts w:ascii="DejaVu Sans Mono" w:hAnsi="DejaVu Sans Mono"/>
          <w:b w:val="0"/>
          <w:i w:val="0"/>
          <w:sz w:val="17"/>
        </w:rPr>
        <w:t>plane_of_array</w:t>
      </w:r>
      <w:r>
        <w:rPr>
          <w:b w:val="0"/>
          <w:i w:val="0"/>
        </w:rPr>
        <w:t>:</w:t>
      </w:r>
    </w:p>
    <w:p>
      <w:pPr>
        <w:spacing w:after="160"/>
        <w:jc w:val="center"/>
      </w:pPr>
      <w:r>
        <w:drawing>
          <wp:inline xmlns:a="http://schemas.openxmlformats.org/drawingml/2006/main" xmlns:pic="http://schemas.openxmlformats.org/drawingml/2006/picture">
            <wp:extent cx="5439308" cy="205775"/>
            <wp:docPr id="16" name="Picture 16"/>
            <wp:cNvGraphicFramePr>
              <a:graphicFrameLocks noChangeAspect="1"/>
            </wp:cNvGraphicFramePr>
            <a:graphic>
              <a:graphicData uri="http://schemas.openxmlformats.org/drawingml/2006/picture">
                <pic:pic>
                  <pic:nvPicPr>
                    <pic:cNvPr id="0" name="eq-016.png"/>
                    <pic:cNvPicPr/>
                  </pic:nvPicPr>
                  <pic:blipFill>
                    <a:blip r:embed="rId26"/>
                    <a:stretch>
                      <a:fillRect/>
                    </a:stretch>
                  </pic:blipFill>
                  <pic:spPr>
                    <a:xfrm>
                      <a:off x="0" y="0"/>
                      <a:ext cx="5439308" cy="205775"/>
                    </a:xfrm>
                    <a:prstGeom prst="rect"/>
                  </pic:spPr>
                </pic:pic>
              </a:graphicData>
            </a:graphic>
          </wp:inline>
        </w:drawing>
      </w:r>
    </w:p>
    <w:p>
      <w:r>
        <w:rPr>
          <w:b w:val="0"/>
          <w:i w:val="0"/>
        </w:rPr>
        <w:t xml:space="preserve">The tilt parameter also supports </w:t>
      </w:r>
      <w:r>
        <w:rPr>
          <w:rFonts w:ascii="DejaVu Sans Mono" w:hAnsi="DejaVu Sans Mono"/>
          <w:b w:val="0"/>
          <w:i w:val="0"/>
          <w:sz w:val="17"/>
        </w:rPr>
        <w:t>tilt_​rule="site_latitude"</w:t>
      </w:r>
      <w:r>
        <w:rPr>
          <w:b w:val="0"/>
          <w:i w:val="0"/>
        </w:rPr>
        <w:t xml:space="preserve">, giving the absolute latitude in degrees, and </w:t>
      </w:r>
      <w:r>
        <w:rPr>
          <w:rFonts w:ascii="DejaVu Sans Mono" w:hAnsi="DejaVu Sans Mono"/>
          <w:b w:val="0"/>
          <w:i w:val="0"/>
          <w:sz w:val="17"/>
        </w:rPr>
        <w:t>tilt_rule="fixed"</w:t>
      </w:r>
      <w:r>
        <w:rPr>
          <w:b w:val="0"/>
          <w:i w:val="0"/>
        </w:rPr>
        <w:t xml:space="preserve">, using </w:t>
      </w:r>
      <w:r>
        <w:rPr>
          <w:rFonts w:ascii="DejaVu Sans Mono" w:hAnsi="DejaVu Sans Mono"/>
          <w:b w:val="0"/>
          <w:i w:val="0"/>
          <w:sz w:val="17"/>
        </w:rPr>
        <w:t>fixed_tilt_deg</w:t>
      </w:r>
      <w:r>
        <w:rPr>
          <w:b w:val="0"/>
          <w:i w:val="0"/>
        </w:rPr>
        <w:t xml:space="preserve"> in [0,90]. The radiation plane faces south under all three rules. </w:t>
      </w:r>
      <w:r>
        <w:rPr>
          <w:rFonts w:ascii="DejaVu Sans Mono" w:hAnsi="DejaVu Sans Mono"/>
          <w:b w:val="0"/>
          <w:i w:val="0"/>
          <w:sz w:val="17"/>
        </w:rPr>
        <w:t>PlaneOfArrayParameters</w:t>
      </w:r>
      <w:r>
        <w:rPr>
          <w:b w:val="0"/>
          <w:i w:val="0"/>
        </w:rPr>
        <w:t xml:space="preserve"> supplies </w:t>
      </w:r>
      <w:r>
        <w:rPr>
          <w:rFonts w:ascii="DejaVu Sans Mono" w:hAnsi="DejaVu Sans Mono"/>
          <w:b w:val="0"/>
          <w:i w:val="0"/>
          <w:sz w:val="17"/>
        </w:rPr>
        <w:t>albedo=0.2</w:t>
      </w:r>
      <w:r>
        <w:rPr>
          <w:b w:val="0"/>
          <w:i w:val="0"/>
        </w:rPr>
        <w:t xml:space="preserve">, </w:t>
      </w:r>
      <w:r>
        <w:rPr>
          <w:rFonts w:ascii="DejaVu Sans Mono" w:hAnsi="DejaVu Sans Mono"/>
          <w:b w:val="0"/>
          <w:i w:val="0"/>
          <w:sz w:val="17"/>
        </w:rPr>
        <w:t>solar_​constant_​w_​m2=1361</w:t>
      </w:r>
      <w:r>
        <w:rPr>
          <w:b w:val="0"/>
          <w:i w:val="0"/>
        </w:rPr>
        <w:t xml:space="preserve"> and </w:t>
      </w:r>
      <w:r>
        <w:rPr>
          <w:rFonts w:ascii="DejaVu Sans Mono" w:hAnsi="DejaVu Sans Mono"/>
          <w:b w:val="0"/>
          <w:i w:val="0"/>
          <w:sz w:val="17"/>
        </w:rPr>
        <w:t>max_zenith_deg=87</w:t>
      </w:r>
      <w:r>
        <w:rPr>
          <w:b w:val="0"/>
          <w:i w:val="0"/>
        </w:rPr>
        <w:t>. Supported parameter ranges are [0,1] for albedo, 1,300–1,400 W/m² for the solar constant and [80,90) degrees for the zenith threshold.</w:t>
      </w:r>
    </w:p>
    <w:p>
      <w:pPr>
        <w:pStyle w:val="Heading2"/>
      </w:pPr>
      <w:r>
        <w:rPr>
          <w:b w:val="0"/>
          <w:i w:val="0"/>
        </w:rPr>
        <w:t>Solar geometry</w:t>
      </w:r>
    </w:p>
    <w:p>
      <w:pPr>
        <w:keepNext/>
      </w:pPr>
      <w:r>
        <w:rPr>
          <w:b w:val="0"/>
          <w:i w:val="0"/>
        </w:rPr>
        <w:t xml:space="preserve">Solar geometry follows the UTC midpoint of the operating period. </w:t>
      </w:r>
      <w:r>
        <w:rPr>
          <w:rFonts w:ascii="DejaVu Sans Mono" w:hAnsi="DejaVu Sans Mono"/>
          <w:b w:val="0"/>
          <w:i w:val="0"/>
          <w:sz w:val="17"/>
        </w:rPr>
        <w:t>period_clock</w:t>
      </w:r>
      <w:r>
        <w:rPr>
          <w:b w:val="0"/>
          <w:i w:val="0"/>
        </w:rPr>
        <w:t xml:space="preserve"> returns the calendar day </w:t>
      </w:r>
      <w:r>
        <w:rPr>
          <w:rFonts w:ascii="DejaVu Sans Mono" w:hAnsi="DejaVu Sans Mono"/>
          <w:b w:val="0"/>
          <w:i w:val="0"/>
          <w:sz w:val="17"/>
        </w:rPr>
        <w:t>day_of_year</w:t>
      </w:r>
      <w:r>
        <w:rPr>
          <w:b w:val="0"/>
          <w:i w:val="0"/>
        </w:rPr>
        <w:t xml:space="preserve"> and hour </w:t>
      </w:r>
      <w:r>
        <w:rPr>
          <w:rFonts w:ascii="DejaVu Sans Mono" w:hAnsi="DejaVu Sans Mono"/>
          <w:b w:val="0"/>
          <w:i w:val="0"/>
          <w:sz w:val="17"/>
        </w:rPr>
        <w:t>utc_hours</w:t>
      </w:r>
      <w:r>
        <w:rPr>
          <w:b w:val="0"/>
          <w:i w:val="0"/>
        </w:rPr>
        <w:t xml:space="preserve">; </w:t>
      </w:r>
      <w:r>
        <w:rPr>
          <w:rFonts w:ascii="DejaVu Sans Mono" w:hAnsi="DejaVu Sans Mono"/>
          <w:b w:val="0"/>
          <w:i w:val="0"/>
          <w:sz w:val="17"/>
        </w:rPr>
        <w:t>day_angle</w:t>
      </w:r>
      <w:r>
        <w:rPr>
          <w:b w:val="0"/>
          <w:i w:val="0"/>
        </w:rPr>
        <w:t xml:space="preserve"> calculates the annual angle </w:t>
      </w:r>
      <w:r>
        <w:rPr>
          <w:rFonts w:ascii="DejaVu Sans Mono" w:hAnsi="DejaVu Sans Mono"/>
          <w:b w:val="0"/>
          <w:i w:val="0"/>
          <w:sz w:val="17"/>
        </w:rPr>
        <w:t>g</w:t>
      </w:r>
      <w:r>
        <w:rPr>
          <w:b w:val="0"/>
          <w:i w:val="0"/>
        </w:rPr>
        <w:t xml:space="preserve"> in radians. For zero-based period </w:t>
      </w:r>
      <w:r>
        <w:rPr>
          <w:rFonts w:ascii="DejaVu Sans Mono" w:hAnsi="DejaVu Sans Mono"/>
          <w:b w:val="0"/>
          <w:i w:val="0"/>
          <w:sz w:val="17"/>
        </w:rPr>
        <w:t>t</w:t>
      </w:r>
      <w:r>
        <w:rPr>
          <w:b w:val="0"/>
          <w:i w:val="0"/>
        </w:rPr>
        <w:t>,</w:t>
      </w:r>
    </w:p>
    <w:p>
      <w:pPr>
        <w:spacing w:after="160"/>
        <w:jc w:val="center"/>
      </w:pPr>
      <w:r>
        <w:drawing>
          <wp:inline xmlns:a="http://schemas.openxmlformats.org/drawingml/2006/main" xmlns:pic="http://schemas.openxmlformats.org/drawingml/2006/picture">
            <wp:extent cx="3229356" cy="621645"/>
            <wp:docPr id="17" name="Picture 17"/>
            <wp:cNvGraphicFramePr>
              <a:graphicFrameLocks noChangeAspect="1"/>
            </wp:cNvGraphicFramePr>
            <a:graphic>
              <a:graphicData uri="http://schemas.openxmlformats.org/drawingml/2006/picture">
                <pic:pic>
                  <pic:nvPicPr>
                    <pic:cNvPr id="0" name="eq-017.png"/>
                    <pic:cNvPicPr/>
                  </pic:nvPicPr>
                  <pic:blipFill>
                    <a:blip r:embed="rId27"/>
                    <a:stretch>
                      <a:fillRect/>
                    </a:stretch>
                  </pic:blipFill>
                  <pic:spPr>
                    <a:xfrm>
                      <a:off x="0" y="0"/>
                      <a:ext cx="3229356" cy="621645"/>
                    </a:xfrm>
                    <a:prstGeom prst="rect"/>
                  </pic:spPr>
                </pic:pic>
              </a:graphicData>
            </a:graphic>
          </wp:inline>
        </w:drawing>
      </w:r>
    </w:p>
    <w:p>
      <w:pPr>
        <w:keepNext/>
      </w:pPr>
      <w:r>
        <w:rPr>
          <w:b w:val="0"/>
          <w:i w:val="0"/>
        </w:rPr>
        <w:t xml:space="preserve">Declination and orbital corrections use the following coefficients in </w:t>
      </w:r>
      <w:r>
        <w:rPr>
          <w:rFonts w:ascii="DejaVu Sans Mono" w:hAnsi="DejaVu Sans Mono"/>
          <w:b w:val="0"/>
          <w:i w:val="0"/>
          <w:sz w:val="17"/>
        </w:rPr>
        <w:t>declination</w:t>
      </w:r>
      <w:r>
        <w:rPr>
          <w:b w:val="0"/>
          <w:i w:val="0"/>
        </w:rPr>
        <w:t xml:space="preserve">, </w:t>
      </w:r>
      <w:r>
        <w:rPr>
          <w:rFonts w:ascii="DejaVu Sans Mono" w:hAnsi="DejaVu Sans Mono"/>
          <w:b w:val="0"/>
          <w:i w:val="0"/>
          <w:sz w:val="17"/>
        </w:rPr>
        <w:t>equation_​of_​time_​minutes</w:t>
      </w:r>
      <w:r>
        <w:rPr>
          <w:b w:val="0"/>
          <w:i w:val="0"/>
        </w:rPr>
        <w:t xml:space="preserve"> and </w:t>
      </w:r>
      <w:r>
        <w:rPr>
          <w:rFonts w:ascii="DejaVu Sans Mono" w:hAnsi="DejaVu Sans Mono"/>
          <w:b w:val="0"/>
          <w:i w:val="0"/>
          <w:sz w:val="17"/>
        </w:rPr>
        <w:t>eccentricity_factor</w:t>
      </w:r>
      <w:r>
        <w:rPr>
          <w:b w:val="0"/>
          <w:i w:val="0"/>
        </w:rPr>
        <w:t xml:space="preserve">. The resulting </w:t>
      </w:r>
      <w:r>
        <w:rPr>
          <w:rFonts w:ascii="DejaVu Sans Mono" w:hAnsi="DejaVu Sans Mono"/>
          <w:b w:val="0"/>
          <w:i w:val="0"/>
          <w:sz w:val="17"/>
        </w:rPr>
        <w:t>decl</w:t>
      </w:r>
      <w:r>
        <w:rPr>
          <w:b w:val="0"/>
          <w:i w:val="0"/>
        </w:rPr>
        <w:t xml:space="preserve"> is in radians, the time correction is in minutes and the distance factor is dimensionless:</w:t>
      </w:r>
    </w:p>
    <w:p>
      <w:pPr>
        <w:spacing w:after="160"/>
        <w:jc w:val="center"/>
      </w:pPr>
      <w:r>
        <w:drawing>
          <wp:inline xmlns:a="http://schemas.openxmlformats.org/drawingml/2006/main" xmlns:pic="http://schemas.openxmlformats.org/drawingml/2006/picture">
            <wp:extent cx="3705682" cy="621805"/>
            <wp:docPr id="18" name="Picture 18"/>
            <wp:cNvGraphicFramePr>
              <a:graphicFrameLocks noChangeAspect="1"/>
            </wp:cNvGraphicFramePr>
            <a:graphic>
              <a:graphicData uri="http://schemas.openxmlformats.org/drawingml/2006/picture">
                <pic:pic>
                  <pic:nvPicPr>
                    <pic:cNvPr id="0" name="eq-018.png"/>
                    <pic:cNvPicPr/>
                  </pic:nvPicPr>
                  <pic:blipFill>
                    <a:blip r:embed="rId28"/>
                    <a:stretch>
                      <a:fillRect/>
                    </a:stretch>
                  </pic:blipFill>
                  <pic:spPr>
                    <a:xfrm>
                      <a:off x="0" y="0"/>
                      <a:ext cx="3705682" cy="621805"/>
                    </a:xfrm>
                    <a:prstGeom prst="rect"/>
                  </pic:spPr>
                </pic:pic>
              </a:graphicData>
            </a:graphic>
          </wp:inline>
        </w:drawing>
      </w:r>
    </w:p>
    <w:p>
      <w:pPr>
        <w:spacing w:after="160"/>
        <w:jc w:val="center"/>
      </w:pPr>
      <w:r>
        <w:drawing>
          <wp:inline xmlns:a="http://schemas.openxmlformats.org/drawingml/2006/main" xmlns:pic="http://schemas.openxmlformats.org/drawingml/2006/picture">
            <wp:extent cx="5353050" cy="690273"/>
            <wp:docPr id="19" name="Picture 19"/>
            <wp:cNvGraphicFramePr>
              <a:graphicFrameLocks noChangeAspect="1"/>
            </wp:cNvGraphicFramePr>
            <a:graphic>
              <a:graphicData uri="http://schemas.openxmlformats.org/drawingml/2006/picture">
                <pic:pic>
                  <pic:nvPicPr>
                    <pic:cNvPr id="0" name="eq-019.png"/>
                    <pic:cNvPicPr/>
                  </pic:nvPicPr>
                  <pic:blipFill>
                    <a:blip r:embed="rId29"/>
                    <a:stretch>
                      <a:fillRect/>
                    </a:stretch>
                  </pic:blipFill>
                  <pic:spPr>
                    <a:xfrm>
                      <a:off x="0" y="0"/>
                      <a:ext cx="5353050" cy="690273"/>
                    </a:xfrm>
                    <a:prstGeom prst="rect"/>
                  </pic:spPr>
                </pic:pic>
              </a:graphicData>
            </a:graphic>
          </wp:inline>
        </w:drawing>
      </w:r>
    </w:p>
    <w:p>
      <w:pPr>
        <w:spacing w:after="160"/>
        <w:jc w:val="center"/>
      </w:pPr>
      <w:r>
        <w:drawing>
          <wp:inline xmlns:a="http://schemas.openxmlformats.org/drawingml/2006/main" xmlns:pic="http://schemas.openxmlformats.org/drawingml/2006/picture">
            <wp:extent cx="4900498" cy="621705"/>
            <wp:docPr id="20" name="Picture 20"/>
            <wp:cNvGraphicFramePr>
              <a:graphicFrameLocks noChangeAspect="1"/>
            </wp:cNvGraphicFramePr>
            <a:graphic>
              <a:graphicData uri="http://schemas.openxmlformats.org/drawingml/2006/picture">
                <pic:pic>
                  <pic:nvPicPr>
                    <pic:cNvPr id="0" name="eq-020.png"/>
                    <pic:cNvPicPr/>
                  </pic:nvPicPr>
                  <pic:blipFill>
                    <a:blip r:embed="rId30"/>
                    <a:stretch>
                      <a:fillRect/>
                    </a:stretch>
                  </pic:blipFill>
                  <pic:spPr>
                    <a:xfrm>
                      <a:off x="0" y="0"/>
                      <a:ext cx="4900498" cy="621705"/>
                    </a:xfrm>
                    <a:prstGeom prst="rect"/>
                  </pic:spPr>
                </pic:pic>
              </a:graphicData>
            </a:graphic>
          </wp:inline>
        </w:drawing>
      </w:r>
    </w:p>
    <w:p>
      <w:pPr>
        <w:keepNext/>
      </w:pPr>
      <w:r>
        <w:rPr>
          <w:b w:val="0"/>
          <w:i w:val="0"/>
        </w:rPr>
        <w:t xml:space="preserve">Longitude and the time correction give local solar time and hour angle. </w:t>
      </w:r>
      <w:r>
        <w:rPr>
          <w:rFonts w:ascii="DejaVu Sans Mono" w:hAnsi="DejaVu Sans Mono"/>
          <w:b w:val="0"/>
          <w:i w:val="0"/>
          <w:sz w:val="17"/>
        </w:rPr>
        <w:t>longitude_deg</w:t>
      </w:r>
      <w:r>
        <w:rPr>
          <w:b w:val="0"/>
          <w:i w:val="0"/>
        </w:rPr>
        <w:t xml:space="preserve"> is positive eastward, </w:t>
      </w:r>
      <w:r>
        <w:rPr>
          <w:rFonts w:ascii="DejaVu Sans Mono" w:hAnsi="DejaVu Sans Mono"/>
          <w:b w:val="0"/>
          <w:i w:val="0"/>
          <w:sz w:val="17"/>
        </w:rPr>
        <w:t>solar_time</w:t>
      </w:r>
      <w:r>
        <w:rPr>
          <w:b w:val="0"/>
          <w:i w:val="0"/>
        </w:rPr>
        <w:t xml:space="preserve"> is in hours and </w:t>
      </w:r>
      <w:r>
        <w:rPr>
          <w:rFonts w:ascii="DejaVu Sans Mono" w:hAnsi="DejaVu Sans Mono"/>
          <w:b w:val="0"/>
          <w:i w:val="0"/>
          <w:sz w:val="17"/>
        </w:rPr>
        <w:t>omega</w:t>
      </w:r>
      <w:r>
        <w:rPr>
          <w:b w:val="0"/>
          <w:i w:val="0"/>
        </w:rPr>
        <w:t xml:space="preserve"> is in radians. </w:t>
      </w:r>
      <w:r>
        <w:rPr>
          <w:rFonts w:ascii="DejaVu Sans Mono" w:hAnsi="DejaVu Sans Mono"/>
          <w:b w:val="0"/>
          <w:i w:val="0"/>
          <w:sz w:val="17"/>
        </w:rPr>
        <w:t>incidence_cosines</w:t>
      </w:r>
      <w:r>
        <w:rPr>
          <w:b w:val="0"/>
          <w:i w:val="0"/>
        </w:rPr>
        <w:t xml:space="preserve"> converts latitude and tilt to radians as </w:t>
      </w:r>
      <w:r>
        <w:rPr>
          <w:rFonts w:ascii="DejaVu Sans Mono" w:hAnsi="DejaVu Sans Mono"/>
          <w:b w:val="0"/>
          <w:i w:val="0"/>
          <w:sz w:val="17"/>
        </w:rPr>
        <w:t>phi</w:t>
      </w:r>
      <w:r>
        <w:rPr>
          <w:b w:val="0"/>
          <w:i w:val="0"/>
        </w:rPr>
        <w:t xml:space="preserve"> and </w:t>
      </w:r>
      <w:r>
        <w:rPr>
          <w:rFonts w:ascii="DejaVu Sans Mono" w:hAnsi="DejaVu Sans Mono"/>
          <w:b w:val="0"/>
          <w:i w:val="0"/>
          <w:sz w:val="17"/>
        </w:rPr>
        <w:t>beta</w:t>
      </w:r>
      <w:r>
        <w:rPr>
          <w:b w:val="0"/>
          <w:i w:val="0"/>
        </w:rPr>
        <w:t xml:space="preserve">, returning </w:t>
      </w:r>
      <w:r>
        <w:rPr>
          <w:rFonts w:ascii="DejaVu Sans Mono" w:hAnsi="DejaVu Sans Mono"/>
          <w:b w:val="0"/>
          <w:i w:val="0"/>
          <w:sz w:val="17"/>
        </w:rPr>
        <w:t>cos_z</w:t>
      </w:r>
      <w:r>
        <w:rPr>
          <w:b w:val="0"/>
          <w:i w:val="0"/>
        </w:rPr>
        <w:t xml:space="preserve"> and </w:t>
      </w:r>
      <w:r>
        <w:rPr>
          <w:rFonts w:ascii="DejaVu Sans Mono" w:hAnsi="DejaVu Sans Mono"/>
          <w:b w:val="0"/>
          <w:i w:val="0"/>
          <w:sz w:val="17"/>
        </w:rPr>
        <w:t>cos_theta</w:t>
      </w:r>
      <w:r>
        <w:rPr>
          <w:b w:val="0"/>
          <w:i w:val="0"/>
        </w:rPr>
        <w:t xml:space="preserve"> for the zenith and incidence angles:</w:t>
      </w:r>
    </w:p>
    <w:p>
      <w:pPr>
        <w:spacing w:after="160"/>
        <w:jc w:val="center"/>
      </w:pPr>
      <w:r>
        <w:drawing>
          <wp:inline xmlns:a="http://schemas.openxmlformats.org/drawingml/2006/main" xmlns:pic="http://schemas.openxmlformats.org/drawingml/2006/picture">
            <wp:extent cx="4954219" cy="1518044"/>
            <wp:docPr id="21" name="Picture 21"/>
            <wp:cNvGraphicFramePr>
              <a:graphicFrameLocks noChangeAspect="1"/>
            </wp:cNvGraphicFramePr>
            <a:graphic>
              <a:graphicData uri="http://schemas.openxmlformats.org/drawingml/2006/picture">
                <pic:pic>
                  <pic:nvPicPr>
                    <pic:cNvPr id="0" name="eq-021.png"/>
                    <pic:cNvPicPr/>
                  </pic:nvPicPr>
                  <pic:blipFill>
                    <a:blip r:embed="rId31"/>
                    <a:stretch>
                      <a:fillRect/>
                    </a:stretch>
                  </pic:blipFill>
                  <pic:spPr>
                    <a:xfrm>
                      <a:off x="0" y="0"/>
                      <a:ext cx="4954219" cy="1518044"/>
                    </a:xfrm>
                    <a:prstGeom prst="rect"/>
                  </pic:spPr>
                </pic:pic>
              </a:graphicData>
            </a:graphic>
          </wp:inline>
        </w:drawing>
      </w:r>
    </w:p>
    <w:p>
      <w:pPr>
        <w:pStyle w:val="Heading2"/>
      </w:pPr>
      <w:r>
        <w:rPr>
          <w:b w:val="0"/>
          <w:i w:val="0"/>
        </w:rPr>
        <w:t>Diffuse radiation and array-plane irradiance</w:t>
      </w:r>
    </w:p>
    <w:p>
      <w:pPr>
        <w:keepNext/>
      </w:pPr>
      <w:r>
        <w:rPr>
          <w:b w:val="0"/>
          <w:i w:val="0"/>
        </w:rPr>
        <w:t xml:space="preserve">The horizontal irradiance is decomposed into diffuse and beam components. </w:t>
      </w:r>
      <w:r>
        <w:rPr>
          <w:rFonts w:ascii="DejaVu Sans Mono" w:hAnsi="DejaVu Sans Mono"/>
          <w:b w:val="0"/>
          <w:i w:val="0"/>
          <w:sz w:val="17"/>
        </w:rPr>
        <w:t>plane_of_array</w:t>
      </w:r>
      <w:r>
        <w:rPr>
          <w:b w:val="0"/>
          <w:i w:val="0"/>
        </w:rPr>
        <w:t xml:space="preserve"> sets </w:t>
      </w:r>
      <w:r>
        <w:rPr>
          <w:rFonts w:ascii="DejaVu Sans Mono" w:hAnsi="DejaVu Sans Mono"/>
          <w:b w:val="0"/>
          <w:i w:val="0"/>
          <w:sz w:val="17"/>
        </w:rPr>
        <w:t>ghi</w:t>
      </w:r>
      <w:r>
        <w:rPr>
          <w:b w:val="0"/>
          <w:i w:val="0"/>
        </w:rPr>
        <w:t xml:space="preserve"> to the non-negative part of </w:t>
      </w:r>
      <w:r>
        <w:rPr>
          <w:rFonts w:ascii="DejaVu Sans Mono" w:hAnsi="DejaVu Sans Mono"/>
          <w:b w:val="0"/>
          <w:i w:val="0"/>
          <w:sz w:val="17"/>
        </w:rPr>
        <w:t>ghi_kw_m2</w:t>
      </w:r>
      <w:r>
        <w:rPr>
          <w:b w:val="0"/>
          <w:i w:val="0"/>
        </w:rPr>
        <w:t xml:space="preserve">, in kW/m², and calculates </w:t>
      </w:r>
      <w:r>
        <w:rPr>
          <w:rFonts w:ascii="DejaVu Sans Mono" w:hAnsi="DejaVu Sans Mono"/>
          <w:b w:val="0"/>
          <w:i w:val="0"/>
          <w:sz w:val="17"/>
        </w:rPr>
        <w:t>extraterrestrial_normal</w:t>
      </w:r>
      <w:r>
        <w:rPr>
          <w:b w:val="0"/>
          <w:i w:val="0"/>
        </w:rPr>
        <w:t xml:space="preserve"> as </w:t>
      </w:r>
      <w:r>
        <w:rPr>
          <w:rFonts w:ascii="DejaVu Sans Mono" w:hAnsi="DejaVu Sans Mono"/>
          <w:b w:val="0"/>
          <w:i w:val="0"/>
          <w:sz w:val="17"/>
        </w:rPr>
        <w:t>parameters.solar_​constant_​w_​m2 / 1000.0 * eccentricity_​factor(day_​of_​year)</w:t>
      </w:r>
      <w:r>
        <w:rPr>
          <w:b w:val="0"/>
          <w:i w:val="0"/>
        </w:rPr>
        <w:t xml:space="preserve">; the default multiplier is 1.361 kW/m². For positive </w:t>
      </w:r>
      <w:r>
        <w:rPr>
          <w:rFonts w:ascii="DejaVu Sans Mono" w:hAnsi="DejaVu Sans Mono"/>
          <w:b w:val="0"/>
          <w:i w:val="0"/>
          <w:sz w:val="17"/>
        </w:rPr>
        <w:t>ghi</w:t>
      </w:r>
      <w:r>
        <w:rPr>
          <w:b w:val="0"/>
          <w:i w:val="0"/>
        </w:rPr>
        <w:t xml:space="preserve"> and zenith below 87°, the clearness index is</w:t>
      </w:r>
    </w:p>
    <w:p>
      <w:pPr>
        <w:spacing w:after="160"/>
        <w:jc w:val="center"/>
      </w:pPr>
      <w:r>
        <w:drawing>
          <wp:inline xmlns:a="http://schemas.openxmlformats.org/drawingml/2006/main" xmlns:pic="http://schemas.openxmlformats.org/drawingml/2006/picture">
            <wp:extent cx="4778654" cy="413845"/>
            <wp:docPr id="22" name="Picture 22"/>
            <wp:cNvGraphicFramePr>
              <a:graphicFrameLocks noChangeAspect="1"/>
            </wp:cNvGraphicFramePr>
            <a:graphic>
              <a:graphicData uri="http://schemas.openxmlformats.org/drawingml/2006/picture">
                <pic:pic>
                  <pic:nvPicPr>
                    <pic:cNvPr id="0" name="eq-022.png"/>
                    <pic:cNvPicPr/>
                  </pic:nvPicPr>
                  <pic:blipFill>
                    <a:blip r:embed="rId32"/>
                    <a:stretch>
                      <a:fillRect/>
                    </a:stretch>
                  </pic:blipFill>
                  <pic:spPr>
                    <a:xfrm>
                      <a:off x="0" y="0"/>
                      <a:ext cx="4778654" cy="413845"/>
                    </a:xfrm>
                    <a:prstGeom prst="rect"/>
                  </pic:spPr>
                </pic:pic>
              </a:graphicData>
            </a:graphic>
          </wp:inline>
        </w:drawing>
      </w:r>
    </w:p>
    <w:p>
      <w:pPr>
        <w:keepNext/>
      </w:pPr>
      <w:r>
        <w:rPr>
          <w:b w:val="0"/>
          <w:i w:val="0"/>
        </w:rPr>
        <w:t xml:space="preserve">The diffuse fraction follows the hourly relation of </w:t>
      </w:r>
      <w:r>
        <w:rPr>
          <w:b w:val="0"/>
          <w:i w:val="0"/>
        </w:rPr>
        <w:t>Erbs, Klein and Duffie (1982), Solar Energy 28(4), 293–302</w:t>
      </w:r>
      <w:r>
        <w:rPr>
          <w:b w:val="0"/>
          <w:i w:val="0"/>
        </w:rPr>
        <w:t xml:space="preserve">. The coefficient </w:t>
      </w:r>
      <w:r>
        <w:rPr>
          <w:rFonts w:ascii="DejaVu Sans Mono" w:hAnsi="DejaVu Sans Mono"/>
          <w:b w:val="0"/>
          <w:i w:val="0"/>
          <w:sz w:val="17"/>
        </w:rPr>
        <w:t>kd</w:t>
      </w:r>
      <w:r>
        <w:rPr>
          <w:b w:val="0"/>
          <w:i w:val="0"/>
        </w:rPr>
        <w:t xml:space="preserve"> depends on the dimensionless clearness index </w:t>
      </w:r>
      <w:r>
        <w:rPr>
          <w:rFonts w:ascii="DejaVu Sans Mono" w:hAnsi="DejaVu Sans Mono"/>
          <w:b w:val="0"/>
          <w:i w:val="0"/>
          <w:sz w:val="17"/>
        </w:rPr>
        <w:t>kt</w:t>
      </w:r>
      <w:r>
        <w:rPr>
          <w:b w:val="0"/>
          <w:i w:val="0"/>
        </w:rPr>
        <w:t xml:space="preserve">; </w:t>
      </w:r>
      <w:r>
        <w:rPr>
          <w:rFonts w:ascii="DejaVu Sans Mono" w:hAnsi="DejaVu Sans Mono"/>
          <w:b w:val="0"/>
          <w:i w:val="0"/>
          <w:sz w:val="17"/>
        </w:rPr>
        <w:t>middle</w:t>
      </w:r>
      <w:r>
        <w:rPr>
          <w:b w:val="0"/>
          <w:i w:val="0"/>
        </w:rPr>
        <w:t xml:space="preserve"> is the polynomial value for its central interval:</w:t>
      </w:r>
    </w:p>
    <w:p>
      <w:pPr>
        <w:spacing w:after="160"/>
        <w:jc w:val="center"/>
      </w:pPr>
      <w:r>
        <w:drawing>
          <wp:inline xmlns:a="http://schemas.openxmlformats.org/drawingml/2006/main" xmlns:pic="http://schemas.openxmlformats.org/drawingml/2006/picture">
            <wp:extent cx="3232861" cy="1081431"/>
            <wp:docPr id="23" name="Picture 23"/>
            <wp:cNvGraphicFramePr>
              <a:graphicFrameLocks noChangeAspect="1"/>
            </wp:cNvGraphicFramePr>
            <a:graphic>
              <a:graphicData uri="http://schemas.openxmlformats.org/drawingml/2006/picture">
                <pic:pic>
                  <pic:nvPicPr>
                    <pic:cNvPr id="0" name="eq-023.png"/>
                    <pic:cNvPicPr/>
                  </pic:nvPicPr>
                  <pic:blipFill>
                    <a:blip r:embed="rId33"/>
                    <a:stretch>
                      <a:fillRect/>
                    </a:stretch>
                  </pic:blipFill>
                  <pic:spPr>
                    <a:xfrm>
                      <a:off x="0" y="0"/>
                      <a:ext cx="3232861" cy="1081431"/>
                    </a:xfrm>
                    <a:prstGeom prst="rect"/>
                  </pic:spPr>
                </pic:pic>
              </a:graphicData>
            </a:graphic>
          </wp:inline>
        </w:drawing>
      </w:r>
    </w:p>
    <w:p>
      <w:pPr>
        <w:keepNext/>
      </w:pPr>
      <w:r>
        <w:rPr>
          <w:b w:val="0"/>
          <w:i w:val="0"/>
        </w:rPr>
        <w:t xml:space="preserve">The </w:t>
      </w:r>
      <w:r>
        <w:rPr>
          <w:b w:val="0"/>
          <w:i w:val="0"/>
        </w:rPr>
        <w:t>Hay–Davies (1980) transposition</w:t>
      </w:r>
      <w:r>
        <w:rPr>
          <w:b w:val="0"/>
          <w:i w:val="0"/>
        </w:rPr>
        <w:t xml:space="preserve"> combines beam, sky-diffuse and ground-reflected irradiance. </w:t>
      </w:r>
      <w:r>
        <w:rPr>
          <w:rFonts w:ascii="DejaVu Sans Mono" w:hAnsi="DejaVu Sans Mono"/>
          <w:b w:val="0"/>
          <w:i w:val="0"/>
          <w:sz w:val="17"/>
        </w:rPr>
        <w:t>dhi</w:t>
      </w:r>
      <w:r>
        <w:rPr>
          <w:b w:val="0"/>
          <w:i w:val="0"/>
        </w:rPr>
        <w:t xml:space="preserve">, </w:t>
      </w:r>
      <w:r>
        <w:rPr>
          <w:rFonts w:ascii="DejaVu Sans Mono" w:hAnsi="DejaVu Sans Mono"/>
          <w:b w:val="0"/>
          <w:i w:val="0"/>
          <w:sz w:val="17"/>
        </w:rPr>
        <w:t>bhi</w:t>
      </w:r>
      <w:r>
        <w:rPr>
          <w:b w:val="0"/>
          <w:i w:val="0"/>
        </w:rPr>
        <w:t xml:space="preserve"> and </w:t>
      </w:r>
      <w:r>
        <w:rPr>
          <w:rFonts w:ascii="DejaVu Sans Mono" w:hAnsi="DejaVu Sans Mono"/>
          <w:b w:val="0"/>
          <w:i w:val="0"/>
          <w:sz w:val="17"/>
        </w:rPr>
        <w:t>dni</w:t>
      </w:r>
      <w:r>
        <w:rPr>
          <w:b w:val="0"/>
          <w:i w:val="0"/>
        </w:rPr>
        <w:t xml:space="preserve"> denote diffuse horizontal, beam horizontal and direct normal irradiance in kW/m². </w:t>
      </w:r>
      <w:r>
        <w:rPr>
          <w:rFonts w:ascii="DejaVu Sans Mono" w:hAnsi="DejaVu Sans Mono"/>
          <w:b w:val="0"/>
          <w:i w:val="0"/>
          <w:sz w:val="17"/>
        </w:rPr>
        <w:t>anisotropy</w:t>
      </w:r>
      <w:r>
        <w:rPr>
          <w:b w:val="0"/>
          <w:i w:val="0"/>
        </w:rPr>
        <w:t xml:space="preserve">, </w:t>
      </w:r>
      <w:r>
        <w:rPr>
          <w:rFonts w:ascii="DejaVu Sans Mono" w:hAnsi="DejaVu Sans Mono"/>
          <w:b w:val="0"/>
          <w:i w:val="0"/>
          <w:sz w:val="17"/>
        </w:rPr>
        <w:t>beam_ratio</w:t>
      </w:r>
      <w:r>
        <w:rPr>
          <w:b w:val="0"/>
          <w:i w:val="0"/>
        </w:rPr>
        <w:t xml:space="preserve">, </w:t>
      </w:r>
      <w:r>
        <w:rPr>
          <w:rFonts w:ascii="DejaVu Sans Mono" w:hAnsi="DejaVu Sans Mono"/>
          <w:b w:val="0"/>
          <w:i w:val="0"/>
          <w:sz w:val="17"/>
        </w:rPr>
        <w:t>sky_view</w:t>
      </w:r>
      <w:r>
        <w:rPr>
          <w:b w:val="0"/>
          <w:i w:val="0"/>
        </w:rPr>
        <w:t xml:space="preserve"> and </w:t>
      </w:r>
      <w:r>
        <w:rPr>
          <w:rFonts w:ascii="DejaVu Sans Mono" w:hAnsi="DejaVu Sans Mono"/>
          <w:b w:val="0"/>
          <w:i w:val="0"/>
          <w:sz w:val="17"/>
        </w:rPr>
        <w:t>ground_view</w:t>
      </w:r>
      <w:r>
        <w:rPr>
          <w:b w:val="0"/>
          <w:i w:val="0"/>
        </w:rPr>
        <w:t xml:space="preserve"> are dimensionless; the default </w:t>
      </w:r>
      <w:r>
        <w:rPr>
          <w:rFonts w:ascii="DejaVu Sans Mono" w:hAnsi="DejaVu Sans Mono"/>
          <w:b w:val="0"/>
          <w:i w:val="0"/>
          <w:sz w:val="17"/>
        </w:rPr>
        <w:t>albedo</w:t>
      </w:r>
      <w:r>
        <w:rPr>
          <w:b w:val="0"/>
          <w:i w:val="0"/>
        </w:rPr>
        <w:t xml:space="preserve"> is 0.2. The array-plane irradiance </w:t>
      </w:r>
      <w:r>
        <w:rPr>
          <w:rFonts w:ascii="DejaVu Sans Mono" w:hAnsi="DejaVu Sans Mono"/>
          <w:b w:val="0"/>
          <w:i w:val="0"/>
          <w:sz w:val="17"/>
        </w:rPr>
        <w:t>poa</w:t>
      </w:r>
      <w:r>
        <w:rPr>
          <w:b w:val="0"/>
          <w:i w:val="0"/>
        </w:rPr>
        <w:t xml:space="preserve"> is</w:t>
      </w:r>
    </w:p>
    <w:p>
      <w:pPr>
        <w:spacing w:after="160"/>
        <w:jc w:val="center"/>
      </w:pPr>
      <w:r>
        <w:drawing>
          <wp:inline xmlns:a="http://schemas.openxmlformats.org/drawingml/2006/main" xmlns:pic="http://schemas.openxmlformats.org/drawingml/2006/picture">
            <wp:extent cx="4915052" cy="2706708"/>
            <wp:docPr id="24" name="Picture 24"/>
            <wp:cNvGraphicFramePr>
              <a:graphicFrameLocks noChangeAspect="1"/>
            </wp:cNvGraphicFramePr>
            <a:graphic>
              <a:graphicData uri="http://schemas.openxmlformats.org/drawingml/2006/picture">
                <pic:pic>
                  <pic:nvPicPr>
                    <pic:cNvPr id="0" name="eq-024.png"/>
                    <pic:cNvPicPr/>
                  </pic:nvPicPr>
                  <pic:blipFill>
                    <a:blip r:embed="rId34"/>
                    <a:stretch>
                      <a:fillRect/>
                    </a:stretch>
                  </pic:blipFill>
                  <pic:spPr>
                    <a:xfrm>
                      <a:off x="0" y="0"/>
                      <a:ext cx="4915052" cy="2706708"/>
                    </a:xfrm>
                    <a:prstGeom prst="rect"/>
                  </pic:spPr>
                </pic:pic>
              </a:graphicData>
            </a:graphic>
          </wp:inline>
        </w:drawing>
      </w:r>
    </w:p>
    <w:p>
      <w:r>
        <w:rPr>
          <w:b w:val="0"/>
          <w:i w:val="0"/>
        </w:rPr>
        <w:t xml:space="preserve">Periods with zenith at or above 87° or with zero </w:t>
      </w:r>
      <w:r>
        <w:rPr>
          <w:rFonts w:ascii="DejaVu Sans Mono" w:hAnsi="DejaVu Sans Mono"/>
          <w:b w:val="0"/>
          <w:i w:val="0"/>
          <w:sz w:val="17"/>
        </w:rPr>
        <w:t>ghi</w:t>
      </w:r>
      <w:r>
        <w:rPr>
          <w:b w:val="0"/>
          <w:i w:val="0"/>
        </w:rPr>
        <w:t xml:space="preserve"> have </w:t>
      </w:r>
      <w:r>
        <w:rPr>
          <w:rFonts w:ascii="DejaVu Sans Mono" w:hAnsi="DejaVu Sans Mono"/>
          <w:b w:val="0"/>
          <w:i w:val="0"/>
          <w:sz w:val="17"/>
        </w:rPr>
        <w:t>kt=0</w:t>
      </w:r>
      <w:r>
        <w:rPr>
          <w:b w:val="0"/>
          <w:i w:val="0"/>
        </w:rPr>
        <w:t xml:space="preserve">, </w:t>
      </w:r>
      <w:r>
        <w:rPr>
          <w:rFonts w:ascii="DejaVu Sans Mono" w:hAnsi="DejaVu Sans Mono"/>
          <w:b w:val="0"/>
          <w:i w:val="0"/>
          <w:sz w:val="17"/>
        </w:rPr>
        <w:t>kd=1</w:t>
      </w:r>
      <w:r>
        <w:rPr>
          <w:b w:val="0"/>
          <w:i w:val="0"/>
        </w:rPr>
        <w:t xml:space="preserve">, </w:t>
      </w:r>
      <w:r>
        <w:rPr>
          <w:rFonts w:ascii="DejaVu Sans Mono" w:hAnsi="DejaVu Sans Mono"/>
          <w:b w:val="0"/>
          <w:i w:val="0"/>
          <w:sz w:val="17"/>
        </w:rPr>
        <w:t>dhi=ghi</w:t>
      </w:r>
      <w:r>
        <w:rPr>
          <w:b w:val="0"/>
          <w:i w:val="0"/>
        </w:rPr>
        <w:t xml:space="preserve">, </w:t>
      </w:r>
      <w:r>
        <w:rPr>
          <w:rFonts w:ascii="DejaVu Sans Mono" w:hAnsi="DejaVu Sans Mono"/>
          <w:b w:val="0"/>
          <w:i w:val="0"/>
          <w:sz w:val="17"/>
        </w:rPr>
        <w:t>bhi=0</w:t>
      </w:r>
      <w:r>
        <w:rPr>
          <w:b w:val="0"/>
          <w:i w:val="0"/>
        </w:rPr>
        <w:t xml:space="preserve">, </w:t>
      </w:r>
      <w:r>
        <w:rPr>
          <w:rFonts w:ascii="DejaVu Sans Mono" w:hAnsi="DejaVu Sans Mono"/>
          <w:b w:val="0"/>
          <w:i w:val="0"/>
          <w:sz w:val="17"/>
        </w:rPr>
        <w:t>dni=0</w:t>
      </w:r>
      <w:r>
        <w:rPr>
          <w:b w:val="0"/>
          <w:i w:val="0"/>
        </w:rPr>
        <w:t xml:space="preserve">, </w:t>
      </w:r>
      <w:r>
        <w:rPr>
          <w:rFonts w:ascii="DejaVu Sans Mono" w:hAnsi="DejaVu Sans Mono"/>
          <w:b w:val="0"/>
          <w:i w:val="0"/>
          <w:sz w:val="17"/>
        </w:rPr>
        <w:t>anisotropy=0</w:t>
      </w:r>
      <w:r>
        <w:rPr>
          <w:b w:val="0"/>
          <w:i w:val="0"/>
        </w:rPr>
        <w:t xml:space="preserve"> and </w:t>
      </w:r>
      <w:r>
        <w:rPr>
          <w:rFonts w:ascii="DejaVu Sans Mono" w:hAnsi="DejaVu Sans Mono"/>
          <w:b w:val="0"/>
          <w:i w:val="0"/>
          <w:sz w:val="17"/>
        </w:rPr>
        <w:t>beam_ratio=0</w:t>
      </w:r>
      <w:r>
        <w:rPr>
          <w:b w:val="0"/>
          <w:i w:val="0"/>
        </w:rPr>
        <w:t xml:space="preserve">. Their </w:t>
      </w:r>
      <w:r>
        <w:rPr>
          <w:rFonts w:ascii="DejaVu Sans Mono" w:hAnsi="DejaVu Sans Mono"/>
          <w:b w:val="0"/>
          <w:i w:val="0"/>
          <w:sz w:val="17"/>
        </w:rPr>
        <w:t>poa</w:t>
      </w:r>
      <w:r>
        <w:rPr>
          <w:b w:val="0"/>
          <w:i w:val="0"/>
        </w:rPr>
        <w:t xml:space="preserve"> retains the diffuse and ground-reflected terms. The selected </w:t>
      </w:r>
      <w:r>
        <w:rPr>
          <w:rFonts w:ascii="DejaVu Sans Mono" w:hAnsi="DejaVu Sans Mono"/>
          <w:b w:val="0"/>
          <w:i w:val="0"/>
          <w:sz w:val="17"/>
        </w:rPr>
        <w:t>max_zenith_deg</w:t>
      </w:r>
      <w:r>
        <w:rPr>
          <w:b w:val="0"/>
          <w:i w:val="0"/>
        </w:rPr>
        <w:t xml:space="preserve"> replaces 87° in this condition when its parameter is changed.</w:t>
      </w:r>
    </w:p>
    <w:p>
      <w:pPr>
        <w:keepNext/>
      </w:pPr>
      <w:r>
        <w:rPr>
          <w:b w:val="0"/>
          <w:i w:val="0"/>
        </w:rPr>
        <w:t xml:space="preserve">Array-plane irradiance is converted to generation by the performance ratio and a coefficient ceiling of 1. Under the default parameters, </w:t>
      </w:r>
      <w:r>
        <w:rPr>
          <w:rFonts w:ascii="DejaVu Sans Mono" w:hAnsi="DejaVu Sans Mono"/>
          <w:b w:val="0"/>
          <w:i w:val="0"/>
          <w:sz w:val="17"/>
        </w:rPr>
        <w:t>site_cf_by_source</w:t>
      </w:r>
      <w:r>
        <w:rPr>
          <w:b w:val="0"/>
          <w:i w:val="0"/>
        </w:rPr>
        <w:t xml:space="preserve"> returns the dimensionless coefficient </w:t>
      </w:r>
      <w:r>
        <w:rPr>
          <w:rFonts w:ascii="DejaVu Sans Mono" w:hAnsi="DejaVu Sans Mono"/>
          <w:b w:val="0"/>
          <w:i w:val="0"/>
          <w:sz w:val="17"/>
        </w:rPr>
        <w:t>values</w:t>
      </w:r>
      <w:r>
        <w:rPr>
          <w:b w:val="0"/>
          <w:i w:val="0"/>
        </w:rPr>
        <w:t xml:space="preserve"> as</w:t>
      </w:r>
    </w:p>
    <w:p>
      <w:pPr>
        <w:spacing w:after="160"/>
        <w:jc w:val="center"/>
      </w:pPr>
      <w:r>
        <w:drawing>
          <wp:inline xmlns:a="http://schemas.openxmlformats.org/drawingml/2006/main" xmlns:pic="http://schemas.openxmlformats.org/drawingml/2006/picture">
            <wp:extent cx="1983333" cy="171371"/>
            <wp:docPr id="25" name="Picture 25"/>
            <wp:cNvGraphicFramePr>
              <a:graphicFrameLocks noChangeAspect="1"/>
            </wp:cNvGraphicFramePr>
            <a:graphic>
              <a:graphicData uri="http://schemas.openxmlformats.org/drawingml/2006/picture">
                <pic:pic>
                  <pic:nvPicPr>
                    <pic:cNvPr id="0" name="eq-025.png"/>
                    <pic:cNvPicPr/>
                  </pic:nvPicPr>
                  <pic:blipFill>
                    <a:blip r:embed="rId35"/>
                    <a:stretch>
                      <a:fillRect/>
                    </a:stretch>
                  </pic:blipFill>
                  <pic:spPr>
                    <a:xfrm>
                      <a:off x="0" y="0"/>
                      <a:ext cx="1983333" cy="171371"/>
                    </a:xfrm>
                    <a:prstGeom prst="rect"/>
                  </pic:spPr>
                </pic:pic>
              </a:graphicData>
            </a:graphic>
          </wp:inline>
        </w:drawing>
      </w:r>
    </w:p>
    <w:p>
      <w:r>
        <w:rPr>
          <w:b w:val="0"/>
          <w:i w:val="0"/>
        </w:rPr>
        <w:t xml:space="preserve">The coefficient ceiling is applied after the array-plane step. Horizontal conversion applies the performance ratio to </w:t>
      </w:r>
      <w:r>
        <w:rPr>
          <w:rFonts w:ascii="DejaVu Sans Mono" w:hAnsi="DejaVu Sans Mono"/>
          <w:b w:val="0"/>
          <w:i w:val="0"/>
          <w:sz w:val="17"/>
        </w:rPr>
        <w:t>hourly[index]</w:t>
      </w:r>
      <w:r>
        <w:rPr>
          <w:b w:val="0"/>
          <w:i w:val="0"/>
        </w:rPr>
        <w:t xml:space="preserve"> directly. The following algorithm covers wind, instantaneous solar and accumulated solar. </w:t>
      </w:r>
      <w:r>
        <w:rPr>
          <w:rFonts w:ascii="DejaVu Sans Mono" w:hAnsi="DejaVu Sans Mono"/>
          <w:b w:val="0"/>
          <w:i w:val="0"/>
          <w:sz w:val="17"/>
        </w:rPr>
        <w:t>ds</w:t>
      </w:r>
      <w:r>
        <w:rPr>
          <w:b w:val="0"/>
          <w:i w:val="0"/>
        </w:rPr>
        <w:t xml:space="preserve"> is the opened NetCDF input, </w:t>
      </w:r>
      <w:r>
        <w:rPr>
          <w:rFonts w:ascii="DejaVu Sans Mono" w:hAnsi="DejaVu Sans Mono"/>
          <w:b w:val="0"/>
          <w:i w:val="0"/>
          <w:sz w:val="17"/>
        </w:rPr>
        <w:t>binding</w:t>
      </w:r>
      <w:r>
        <w:rPr>
          <w:b w:val="0"/>
          <w:i w:val="0"/>
        </w:rPr>
        <w:t xml:space="preserve"> declares its time convention, </w:t>
      </w:r>
      <w:r>
        <w:rPr>
          <w:rFonts w:ascii="DejaVu Sans Mono" w:hAnsi="DejaVu Sans Mono"/>
          <w:b w:val="0"/>
          <w:i w:val="0"/>
          <w:sz w:val="17"/>
        </w:rPr>
        <w:t>periods</w:t>
      </w:r>
      <w:r>
        <w:rPr>
          <w:b w:val="0"/>
          <w:i w:val="0"/>
        </w:rPr>
        <w:t xml:space="preserve"> is the requested number of half-hours, and </w:t>
      </w:r>
      <w:r>
        <w:rPr>
          <w:rFonts w:ascii="DejaVu Sans Mono" w:hAnsi="DejaVu Sans Mono"/>
          <w:b w:val="0"/>
          <w:i w:val="0"/>
          <w:sz w:val="17"/>
        </w:rPr>
        <w:t>method</w:t>
      </w:r>
      <w:r>
        <w:rPr>
          <w:b w:val="0"/>
          <w:i w:val="0"/>
        </w:rPr>
        <w:t xml:space="preserve"> contains </w:t>
      </w:r>
      <w:r>
        <w:rPr>
          <w:rFonts w:ascii="DejaVu Sans Mono" w:hAnsi="DejaVu Sans Mono"/>
          <w:b w:val="0"/>
          <w:i w:val="0"/>
          <w:sz w:val="17"/>
        </w:rPr>
        <w:t>clock</w:t>
      </w:r>
      <w:r>
        <w:rPr>
          <w:b w:val="0"/>
          <w:i w:val="0"/>
        </w:rPr>
        <w:t xml:space="preserve">, </w:t>
      </w:r>
      <w:r>
        <w:rPr>
          <w:rFonts w:ascii="DejaVu Sans Mono" w:hAnsi="DejaVu Sans Mono"/>
          <w:b w:val="0"/>
          <w:i w:val="0"/>
          <w:sz w:val="17"/>
        </w:rPr>
        <w:t>loss_factors</w:t>
      </w:r>
      <w:r>
        <w:rPr>
          <w:b w:val="0"/>
          <w:i w:val="0"/>
        </w:rPr>
        <w:t xml:space="preserve"> and </w:t>
      </w:r>
      <w:r>
        <w:rPr>
          <w:rFonts w:ascii="DejaVu Sans Mono" w:hAnsi="DejaVu Sans Mono"/>
          <w:b w:val="0"/>
          <w:i w:val="0"/>
          <w:sz w:val="17"/>
        </w:rPr>
        <w:t>plane_of_array</w:t>
      </w:r>
      <w:r>
        <w:rPr>
          <w:b w:val="0"/>
          <w:i w:val="0"/>
        </w:rPr>
        <w:t>:</w:t>
      </w:r>
    </w:p>
    <w:p>
      <w:pPr>
        <w:keepLines/>
        <w:spacing w:line="276" w:lineRule="auto" w:after="160"/>
      </w:pPr>
      <w:r>
        <w:rPr>
          <w:rFonts w:ascii="DejaVu Sans Mono" w:hAnsi="DejaVu Sans Mono"/>
          <w:b w:val="0"/>
          <w:i w:val="0"/>
          <w:sz w:val="17"/>
        </w:rPr>
        <w:t>hourly, evidence = hourly_unit_cf(ds, technology, latitude, longitude, binding)</w:t>
        <w:br/>
        <w:t>index = hour_index(periods, len(hourly), method.clock, evidence["time_convention"])</w:t>
        <w:br/>
        <w:t>values = hourly[index]</w:t>
        <w:br/>
        <w:t>poa_applied = False</w:t>
        <w:br/>
        <w:t>if technology == "solar" and method.plane_of_array:</w:t>
        <w:br/>
        <w:t xml:space="preserve">    poa_applied, reason = plane_​of_​array_​applies(method, evidence["time_convention"])</w:t>
        <w:br/>
        <w:t xml:space="preserve">    if poa_applied:</w:t>
        <w:br/>
        <w:t xml:space="preserve">        values, poa_evidence = plane_of_array(values, latitude_deg=latitude,</w:t>
        <w:br/>
        <w:t xml:space="preserve">            longitude_​deg=longitude, parameters=plane_​of_​array_​parameters())</w:t>
        <w:br/>
        <w:t>multiplier = method.multiplier(technology)</w:t>
        <w:br/>
        <w:t>values = values * multiplier</w:t>
        <w:br/>
        <w:t>if poa_applied:</w:t>
        <w:br/>
        <w:t xml:space="preserve">    values = np.minimum(values, 1.0)</w:t>
        <w:br/>
        <w:t>return values</w:t>
        <w:br/>
      </w:r>
    </w:p>
    <w:p>
      <w:pPr>
        <w:pStyle w:val="Heading2"/>
      </w:pPr>
      <w:r>
        <w:rPr>
          <w:b w:val="0"/>
          <w:i w:val="0"/>
        </w:rPr>
        <w:t>Project locations and weather mixtures</w:t>
      </w:r>
    </w:p>
    <w:p>
      <w:r>
        <w:rPr>
          <w:b w:val="0"/>
          <w:i w:val="0"/>
        </w:rPr>
        <w:t>Assets obtain their representative weather from technology and location. The GB template lists 11 solar and 11 onshore points and 21 offshore point names; the R029 2025 stock has 11 solar, 11 onshore and 18 offshore assets with positive capacity. Operating stock is mapped during the initial selection in Chapter 2. Planned projects receive a representative point before commissioning.</w:t>
      </w:r>
    </w:p>
    <w:p>
      <w:pPr>
        <w:keepNext/>
      </w:pPr>
      <w:r>
        <w:rPr>
          <w:b w:val="0"/>
          <w:i w:val="0"/>
        </w:rPr>
        <w:t xml:space="preserve">A planned project's explicit location takes precedence. </w:t>
      </w:r>
      <w:r>
        <w:rPr>
          <w:rFonts w:ascii="DejaVu Sans Mono" w:hAnsi="DejaVu Sans Mono"/>
          <w:b w:val="0"/>
          <w:i w:val="0"/>
          <w:sz w:val="17"/>
        </w:rPr>
        <w:t>attach_project_weather</w:t>
      </w:r>
      <w:r>
        <w:rPr>
          <w:b w:val="0"/>
          <w:i w:val="0"/>
        </w:rPr>
        <w:t xml:space="preserve"> first uses its </w:t>
      </w:r>
      <w:r>
        <w:rPr>
          <w:rFonts w:ascii="DejaVu Sans Mono" w:hAnsi="DejaVu Sans Mono"/>
          <w:b w:val="0"/>
          <w:i w:val="0"/>
          <w:sz w:val="17"/>
        </w:rPr>
        <w:t>latitude</w:t>
      </w:r>
      <w:r>
        <w:rPr>
          <w:b w:val="0"/>
          <w:i w:val="0"/>
        </w:rPr>
        <w:t xml:space="preserve"> and </w:t>
      </w:r>
      <w:r>
        <w:rPr>
          <w:rFonts w:ascii="DejaVu Sans Mono" w:hAnsi="DejaVu Sans Mono"/>
          <w:b w:val="0"/>
          <w:i w:val="0"/>
          <w:sz w:val="17"/>
        </w:rPr>
        <w:t>longitude</w:t>
      </w:r>
      <w:r>
        <w:rPr>
          <w:b w:val="0"/>
          <w:i w:val="0"/>
        </w:rPr>
        <w:t xml:space="preserve">, then searches the source REPD row by </w:t>
      </w:r>
      <w:r>
        <w:rPr>
          <w:rFonts w:ascii="DejaVu Sans Mono" w:hAnsi="DejaVu Sans Mono"/>
          <w:b w:val="0"/>
          <w:i w:val="0"/>
          <w:sz w:val="17"/>
        </w:rPr>
        <w:t>physical_project_id</w:t>
      </w:r>
      <w:r>
        <w:rPr>
          <w:b w:val="0"/>
          <w:i w:val="0"/>
        </w:rPr>
        <w:t xml:space="preserve">, then uses the site name when coordinates remain missing. Finite coordinates are assigned to the nearest representative of the same technology. </w:t>
      </w:r>
      <w:r>
        <w:rPr>
          <w:rFonts w:ascii="DejaVu Sans Mono" w:hAnsi="DejaVu Sans Mono"/>
          <w:b w:val="0"/>
          <w:i w:val="0"/>
          <w:sz w:val="17"/>
        </w:rPr>
        <w:t>nearest_site</w:t>
      </w:r>
      <w:r>
        <w:rPr>
          <w:b w:val="0"/>
          <w:i w:val="0"/>
        </w:rPr>
        <w:t xml:space="preserve"> converts project coordinates to radians as </w:t>
      </w:r>
      <w:r>
        <w:rPr>
          <w:rFonts w:ascii="DejaVu Sans Mono" w:hAnsi="DejaVu Sans Mono"/>
          <w:b w:val="0"/>
          <w:i w:val="0"/>
          <w:sz w:val="17"/>
        </w:rPr>
        <w:t>lat1</w:t>
      </w:r>
      <w:r>
        <w:rPr>
          <w:b w:val="0"/>
          <w:i w:val="0"/>
        </w:rPr>
        <w:t xml:space="preserve">, </w:t>
      </w:r>
      <w:r>
        <w:rPr>
          <w:rFonts w:ascii="DejaVu Sans Mono" w:hAnsi="DejaVu Sans Mono"/>
          <w:b w:val="0"/>
          <w:i w:val="0"/>
          <w:sz w:val="17"/>
        </w:rPr>
        <w:t>lon1</w:t>
      </w:r>
      <w:r>
        <w:rPr>
          <w:b w:val="0"/>
          <w:i w:val="0"/>
        </w:rPr>
        <w:t xml:space="preserve"> and representative coordinates as </w:t>
      </w:r>
      <w:r>
        <w:rPr>
          <w:rFonts w:ascii="DejaVu Sans Mono" w:hAnsi="DejaVu Sans Mono"/>
          <w:b w:val="0"/>
          <w:i w:val="0"/>
          <w:sz w:val="17"/>
        </w:rPr>
        <w:t>lat2</w:t>
      </w:r>
      <w:r>
        <w:rPr>
          <w:b w:val="0"/>
          <w:i w:val="0"/>
        </w:rPr>
        <w:t xml:space="preserve">, </w:t>
      </w:r>
      <w:r>
        <w:rPr>
          <w:rFonts w:ascii="DejaVu Sans Mono" w:hAnsi="DejaVu Sans Mono"/>
          <w:b w:val="0"/>
          <w:i w:val="0"/>
          <w:sz w:val="17"/>
        </w:rPr>
        <w:t>lon2</w:t>
      </w:r>
      <w:r>
        <w:rPr>
          <w:b w:val="0"/>
          <w:i w:val="0"/>
        </w:rPr>
        <w:t>; the distance in kilometres is</w:t>
      </w:r>
    </w:p>
    <w:p>
      <w:pPr>
        <w:spacing w:after="160"/>
        <w:jc w:val="center"/>
      </w:pPr>
      <w:r>
        <w:drawing>
          <wp:inline xmlns:a="http://schemas.openxmlformats.org/drawingml/2006/main" xmlns:pic="http://schemas.openxmlformats.org/drawingml/2006/picture">
            <wp:extent cx="4308805" cy="985196"/>
            <wp:docPr id="26" name="Picture 26"/>
            <wp:cNvGraphicFramePr>
              <a:graphicFrameLocks noChangeAspect="1"/>
            </wp:cNvGraphicFramePr>
            <a:graphic>
              <a:graphicData uri="http://schemas.openxmlformats.org/drawingml/2006/picture">
                <pic:pic>
                  <pic:nvPicPr>
                    <pic:cNvPr id="0" name="eq-026.png"/>
                    <pic:cNvPicPr/>
                  </pic:nvPicPr>
                  <pic:blipFill>
                    <a:blip r:embed="rId36"/>
                    <a:stretch>
                      <a:fillRect/>
                    </a:stretch>
                  </pic:blipFill>
                  <pic:spPr>
                    <a:xfrm>
                      <a:off x="0" y="0"/>
                      <a:ext cx="4308805" cy="985196"/>
                    </a:xfrm>
                    <a:prstGeom prst="rect"/>
                  </pic:spPr>
                </pic:pic>
              </a:graphicData>
            </a:graphic>
          </wp:inline>
        </w:drawing>
      </w:r>
    </w:p>
    <w:p>
      <w:r>
        <w:rPr>
          <w:b w:val="0"/>
          <w:i w:val="0"/>
        </w:rPr>
        <w:t>Equal distances select the first representative in the declared order. Solar and onshore planned projects with missing coordinates use their REPD region and the following city mapping. The initial operating-stock reader also uses this table, with the region taking precedence over coordinates at that earlier step.</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val="true"/>
        </w:trPr>
        <w:tc>
          <w:tcPr>
            <w:tcW w:type="dxa" w:w="4896"/>
            <w:vAlign w:val="center"/>
            <w:tcMar>
              <w:top w:w="90" w:type="dxa"/>
              <w:left w:w="90" w:type="dxa"/>
              <w:bottom w:w="90" w:type="dxa"/>
              <w:right w:w="90" w:type="dxa"/>
            </w:tcMar>
            <w:shd w:fill="EEEEEE"/>
          </w:tcPr>
          <w:p>
            <w:pPr>
              <w:spacing w:after="40" w:line="276" w:lineRule="auto"/>
            </w:pPr>
            <w:r>
              <w:rPr>
                <w:b/>
                <w:i w:val="0"/>
                <w:sz w:val="18"/>
              </w:rPr>
              <w:t>REPD region</w:t>
            </w:r>
          </w:p>
        </w:tc>
        <w:tc>
          <w:tcPr>
            <w:tcW w:type="dxa" w:w="4896"/>
            <w:vAlign w:val="center"/>
            <w:tcMar>
              <w:top w:w="90" w:type="dxa"/>
              <w:left w:w="90" w:type="dxa"/>
              <w:bottom w:w="90" w:type="dxa"/>
              <w:right w:w="90" w:type="dxa"/>
            </w:tcMar>
            <w:shd w:fill="EEEEEE"/>
          </w:tcPr>
          <w:p>
            <w:pPr>
              <w:spacing w:after="40" w:line="276" w:lineRule="auto"/>
            </w:pPr>
            <w:r>
              <w:rPr>
                <w:b/>
                <w:i w:val="0"/>
                <w:sz w:val="18"/>
              </w:rPr>
              <w:t>Representative point</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East Midlands</w:t>
            </w:r>
          </w:p>
        </w:tc>
        <w:tc>
          <w:tcPr>
            <w:tcW w:type="dxa" w:w="4896"/>
            <w:vAlign w:val="center"/>
            <w:tcMar>
              <w:top w:w="90" w:type="dxa"/>
              <w:left w:w="90" w:type="dxa"/>
              <w:bottom w:w="90" w:type="dxa"/>
              <w:right w:w="90" w:type="dxa"/>
            </w:tcMar>
          </w:tcPr>
          <w:p>
            <w:pPr>
              <w:spacing w:after="40" w:line="276" w:lineRule="auto"/>
            </w:pPr>
            <w:r>
              <w:rPr>
                <w:b w:val="0"/>
                <w:i w:val="0"/>
                <w:sz w:val="18"/>
              </w:rPr>
              <w:t>Nottingham</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Eastern</w:t>
            </w:r>
          </w:p>
        </w:tc>
        <w:tc>
          <w:tcPr>
            <w:tcW w:type="dxa" w:w="4896"/>
            <w:vAlign w:val="center"/>
            <w:tcMar>
              <w:top w:w="90" w:type="dxa"/>
              <w:left w:w="90" w:type="dxa"/>
              <w:bottom w:w="90" w:type="dxa"/>
              <w:right w:w="90" w:type="dxa"/>
            </w:tcMar>
          </w:tcPr>
          <w:p>
            <w:pPr>
              <w:spacing w:after="40" w:line="276" w:lineRule="auto"/>
            </w:pPr>
            <w:r>
              <w:rPr>
                <w:b w:val="0"/>
                <w:i w:val="0"/>
                <w:sz w:val="18"/>
              </w:rPr>
              <w:t>Ipswich</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London</w:t>
            </w:r>
          </w:p>
        </w:tc>
        <w:tc>
          <w:tcPr>
            <w:tcW w:type="dxa" w:w="4896"/>
            <w:vAlign w:val="center"/>
            <w:tcMar>
              <w:top w:w="90" w:type="dxa"/>
              <w:left w:w="90" w:type="dxa"/>
              <w:bottom w:w="90" w:type="dxa"/>
              <w:right w:w="90" w:type="dxa"/>
            </w:tcMar>
          </w:tcPr>
          <w:p>
            <w:pPr>
              <w:spacing w:after="40" w:line="276" w:lineRule="auto"/>
            </w:pPr>
            <w:r>
              <w:rPr>
                <w:b w:val="0"/>
                <w:i w:val="0"/>
                <w:sz w:val="18"/>
              </w:rPr>
              <w:t>London</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North East</w:t>
            </w:r>
          </w:p>
        </w:tc>
        <w:tc>
          <w:tcPr>
            <w:tcW w:type="dxa" w:w="4896"/>
            <w:vAlign w:val="center"/>
            <w:tcMar>
              <w:top w:w="90" w:type="dxa"/>
              <w:left w:w="90" w:type="dxa"/>
              <w:bottom w:w="90" w:type="dxa"/>
              <w:right w:w="90" w:type="dxa"/>
            </w:tcMar>
          </w:tcPr>
          <w:p>
            <w:pPr>
              <w:spacing w:after="40" w:line="276" w:lineRule="auto"/>
            </w:pPr>
            <w:r>
              <w:rPr>
                <w:b w:val="0"/>
                <w:i w:val="0"/>
                <w:sz w:val="18"/>
              </w:rPr>
              <w:t>Newcastle</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North West</w:t>
            </w:r>
          </w:p>
        </w:tc>
        <w:tc>
          <w:tcPr>
            <w:tcW w:type="dxa" w:w="4896"/>
            <w:vAlign w:val="center"/>
            <w:tcMar>
              <w:top w:w="90" w:type="dxa"/>
              <w:left w:w="90" w:type="dxa"/>
              <w:bottom w:w="90" w:type="dxa"/>
              <w:right w:w="90" w:type="dxa"/>
            </w:tcMar>
          </w:tcPr>
          <w:p>
            <w:pPr>
              <w:spacing w:after="40" w:line="276" w:lineRule="auto"/>
            </w:pPr>
            <w:r>
              <w:rPr>
                <w:b w:val="0"/>
                <w:i w:val="0"/>
                <w:sz w:val="18"/>
              </w:rPr>
              <w:t>Manchester</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Scotland</w:t>
            </w:r>
          </w:p>
        </w:tc>
        <w:tc>
          <w:tcPr>
            <w:tcW w:type="dxa" w:w="4896"/>
            <w:vAlign w:val="center"/>
            <w:tcMar>
              <w:top w:w="90" w:type="dxa"/>
              <w:left w:w="90" w:type="dxa"/>
              <w:bottom w:w="90" w:type="dxa"/>
              <w:right w:w="90" w:type="dxa"/>
            </w:tcMar>
          </w:tcPr>
          <w:p>
            <w:pPr>
              <w:spacing w:after="40" w:line="276" w:lineRule="auto"/>
            </w:pPr>
            <w:r>
              <w:rPr>
                <w:b w:val="0"/>
                <w:i w:val="0"/>
                <w:sz w:val="18"/>
              </w:rPr>
              <w:t>Edinburgh</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South East</w:t>
            </w:r>
          </w:p>
        </w:tc>
        <w:tc>
          <w:tcPr>
            <w:tcW w:type="dxa" w:w="4896"/>
            <w:vAlign w:val="center"/>
            <w:tcMar>
              <w:top w:w="90" w:type="dxa"/>
              <w:left w:w="90" w:type="dxa"/>
              <w:bottom w:w="90" w:type="dxa"/>
              <w:right w:w="90" w:type="dxa"/>
            </w:tcMar>
          </w:tcPr>
          <w:p>
            <w:pPr>
              <w:spacing w:after="40" w:line="276" w:lineRule="auto"/>
            </w:pPr>
            <w:r>
              <w:rPr>
                <w:b w:val="0"/>
                <w:i w:val="0"/>
                <w:sz w:val="18"/>
              </w:rPr>
              <w:t>Portsmouth</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South West</w:t>
            </w:r>
          </w:p>
        </w:tc>
        <w:tc>
          <w:tcPr>
            <w:tcW w:type="dxa" w:w="4896"/>
            <w:vAlign w:val="center"/>
            <w:tcMar>
              <w:top w:w="90" w:type="dxa"/>
              <w:left w:w="90" w:type="dxa"/>
              <w:bottom w:w="90" w:type="dxa"/>
              <w:right w:w="90" w:type="dxa"/>
            </w:tcMar>
          </w:tcPr>
          <w:p>
            <w:pPr>
              <w:spacing w:after="40" w:line="276" w:lineRule="auto"/>
            </w:pPr>
            <w:r>
              <w:rPr>
                <w:b w:val="0"/>
                <w:i w:val="0"/>
                <w:sz w:val="18"/>
              </w:rPr>
              <w:t>Bournemouth</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Wales</w:t>
            </w:r>
          </w:p>
        </w:tc>
        <w:tc>
          <w:tcPr>
            <w:tcW w:type="dxa" w:w="4896"/>
            <w:vAlign w:val="center"/>
            <w:tcMar>
              <w:top w:w="90" w:type="dxa"/>
              <w:left w:w="90" w:type="dxa"/>
              <w:bottom w:w="90" w:type="dxa"/>
              <w:right w:w="90" w:type="dxa"/>
            </w:tcMar>
          </w:tcPr>
          <w:p>
            <w:pPr>
              <w:spacing w:after="40" w:line="276" w:lineRule="auto"/>
            </w:pPr>
            <w:r>
              <w:rPr>
                <w:b w:val="0"/>
                <w:i w:val="0"/>
                <w:sz w:val="18"/>
              </w:rPr>
              <w:t>Cardiff</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West Midlands</w:t>
            </w:r>
          </w:p>
        </w:tc>
        <w:tc>
          <w:tcPr>
            <w:tcW w:type="dxa" w:w="4896"/>
            <w:vAlign w:val="center"/>
            <w:tcMar>
              <w:top w:w="90" w:type="dxa"/>
              <w:left w:w="90" w:type="dxa"/>
              <w:bottom w:w="90" w:type="dxa"/>
              <w:right w:w="90" w:type="dxa"/>
            </w:tcMar>
          </w:tcPr>
          <w:p>
            <w:pPr>
              <w:spacing w:after="40" w:line="276" w:lineRule="auto"/>
            </w:pPr>
            <w:r>
              <w:rPr>
                <w:b w:val="0"/>
                <w:i w:val="0"/>
                <w:sz w:val="18"/>
              </w:rPr>
              <w:t>Birmingham</w:t>
            </w:r>
          </w:p>
        </w:tc>
      </w:tr>
      <w:tr>
        <w:trPr>
          <w:cantSplit/>
        </w:trPr>
        <w:tc>
          <w:tcPr>
            <w:tcW w:type="dxa" w:w="4896"/>
            <w:vAlign w:val="center"/>
            <w:tcMar>
              <w:top w:w="90" w:type="dxa"/>
              <w:left w:w="90" w:type="dxa"/>
              <w:bottom w:w="90" w:type="dxa"/>
              <w:right w:w="90" w:type="dxa"/>
            </w:tcMar>
          </w:tcPr>
          <w:p>
            <w:pPr>
              <w:spacing w:after="40" w:line="276" w:lineRule="auto"/>
            </w:pPr>
            <w:r>
              <w:rPr>
                <w:b w:val="0"/>
                <w:i w:val="0"/>
                <w:sz w:val="18"/>
              </w:rPr>
              <w:t>Yorkshire and Humber</w:t>
            </w:r>
          </w:p>
        </w:tc>
        <w:tc>
          <w:tcPr>
            <w:tcW w:type="dxa" w:w="4896"/>
            <w:vAlign w:val="center"/>
            <w:tcMar>
              <w:top w:w="90" w:type="dxa"/>
              <w:left w:w="90" w:type="dxa"/>
              <w:bottom w:w="90" w:type="dxa"/>
              <w:right w:w="90" w:type="dxa"/>
            </w:tcMar>
          </w:tcPr>
          <w:p>
            <w:pPr>
              <w:spacing w:after="40" w:line="276" w:lineRule="auto"/>
            </w:pPr>
            <w:r>
              <w:rPr>
                <w:b w:val="0"/>
                <w:i w:val="0"/>
                <w:sz w:val="18"/>
              </w:rPr>
              <w:t>Sheffield</w:t>
            </w:r>
          </w:p>
        </w:tc>
      </w:tr>
    </w:tbl>
    <w:p>
      <w:pPr>
        <w:spacing w:after="20"/>
      </w:pPr>
    </w:p>
    <w:p>
      <w:r>
        <w:rPr>
          <w:b w:val="0"/>
          <w:i w:val="0"/>
        </w:rPr>
        <w:t xml:space="preserve">Unlocated projects share a capacity-weighted weather mixture when they enter operation. </w:t>
      </w:r>
      <w:r>
        <w:rPr>
          <w:rFonts w:ascii="DejaVu Sans Mono" w:hAnsi="DejaVu Sans Mono"/>
          <w:b w:val="0"/>
          <w:i w:val="0"/>
          <w:sz w:val="17"/>
        </w:rPr>
        <w:t>commissioned_​project_​weather</w:t>
      </w:r>
      <w:r>
        <w:rPr>
          <w:b w:val="0"/>
          <w:i w:val="0"/>
        </w:rPr>
        <w:t xml:space="preserve"> first accumulates each representative's operating capacity as </w:t>
      </w:r>
      <w:r>
        <w:rPr>
          <w:rFonts w:ascii="DejaVu Sans Mono" w:hAnsi="DejaVu Sans Mono"/>
          <w:b w:val="0"/>
          <w:i w:val="0"/>
          <w:sz w:val="17"/>
        </w:rPr>
        <w:t>stock[name]</w:t>
      </w:r>
      <w:r>
        <w:rPr>
          <w:b w:val="0"/>
          <w:i w:val="0"/>
        </w:rPr>
        <w:t xml:space="preserve"> and adds all explicitly located projects due in that year. It then groups the remaining projects by technology. </w:t>
      </w:r>
      <w:r>
        <w:rPr>
          <w:rFonts w:ascii="DejaVu Sans Mono" w:hAnsi="DejaVu Sans Mono"/>
          <w:b w:val="0"/>
          <w:i w:val="0"/>
          <w:sz w:val="17"/>
        </w:rPr>
        <w:t>total_stock</w:t>
      </w:r>
      <w:r>
        <w:rPr>
          <w:b w:val="0"/>
          <w:i w:val="0"/>
        </w:rPr>
        <w:t xml:space="preserve"> is the corresponding stock in MW, </w:t>
      </w:r>
      <w:r>
        <w:rPr>
          <w:rFonts w:ascii="DejaVu Sans Mono" w:hAnsi="DejaVu Sans Mono"/>
          <w:b w:val="0"/>
          <w:i w:val="0"/>
          <w:sz w:val="17"/>
        </w:rPr>
        <w:t>total_new</w:t>
      </w:r>
      <w:r>
        <w:rPr>
          <w:b w:val="0"/>
          <w:i w:val="0"/>
        </w:rPr>
        <w:t xml:space="preserve"> is the new MW and </w:t>
      </w:r>
      <w:r>
        <w:rPr>
          <w:rFonts w:ascii="DejaVu Sans Mono" w:hAnsi="DejaVu Sans Mono"/>
          <w:b w:val="0"/>
          <w:i w:val="0"/>
          <w:sz w:val="17"/>
        </w:rPr>
        <w:t>names</w:t>
      </w:r>
      <w:r>
        <w:rPr>
          <w:b w:val="0"/>
          <w:i w:val="0"/>
        </w:rPr>
        <w:t xml:space="preserve"> is the list of that technology's representatives:</w:t>
      </w:r>
    </w:p>
    <w:p>
      <w:pPr>
        <w:keepLines/>
        <w:spacing w:line="276" w:lineRule="auto" w:after="160"/>
      </w:pPr>
      <w:r>
        <w:rPr>
          <w:rFonts w:ascii="DejaVu Sans Mono" w:hAnsi="DejaVu Sans Mono"/>
          <w:b w:val="0"/>
          <w:i w:val="0"/>
          <w:sz w:val="17"/>
        </w:rPr>
        <w:t>total_stock = sum(stock[name] for name in names)</w:t>
        <w:br/>
        <w:t>total_new = sum(p.capacity_mw for p in projects)</w:t>
        <w:br/>
        <w:t>if total_new &lt;= 0 or total_stock &lt;= 0:</w:t>
        <w:br/>
        <w:t xml:space="preserve">    weights = {names[0]: 1.0}</w:t>
        <w:br/>
        <w:t>else:</w:t>
        <w:br/>
        <w:t xml:space="preserve">    names.sort()</w:t>
        <w:br/>
        <w:t xml:space="preserve">    remaining, weights = total_new, {}</w:t>
        <w:br/>
        <w:t xml:space="preserve">    for i, name in enumerate(names):</w:t>
        <w:br/>
        <w:t xml:space="preserve">        amount = remaining if i == len(names) - 1 else total_new * stock[name] / total_stock</w:t>
        <w:br/>
        <w:t xml:space="preserve">        remaining -= amount</w:t>
        <w:br/>
        <w:t xml:space="preserve">        weights[name] = amount / total_new if amount &gt; 1e-6 else 0.0</w:t>
        <w:br/>
      </w:r>
    </w:p>
    <w:p>
      <w:r>
        <w:rPr>
          <w:b w:val="0"/>
          <w:i w:val="0"/>
        </w:rPr>
        <w:t xml:space="preserve">Each project in the unlocated group receives the same </w:t>
      </w:r>
      <w:r>
        <w:rPr>
          <w:rFonts w:ascii="DejaVu Sans Mono" w:hAnsi="DejaVu Sans Mono"/>
          <w:b w:val="0"/>
          <w:i w:val="0"/>
          <w:sz w:val="17"/>
        </w:rPr>
        <w:t>weights</w:t>
      </w:r>
      <w:r>
        <w:rPr>
          <w:b w:val="0"/>
          <w:i w:val="0"/>
        </w:rPr>
        <w:t xml:space="preserve">. Positive allocations above 0.000001 MW become </w:t>
      </w:r>
      <w:r>
        <w:rPr>
          <w:rFonts w:ascii="DejaVu Sans Mono" w:hAnsi="DejaVu Sans Mono"/>
          <w:b w:val="0"/>
          <w:i w:val="0"/>
          <w:sz w:val="17"/>
        </w:rPr>
        <w:t>amount / total_new</w:t>
      </w:r>
      <w:r>
        <w:rPr>
          <w:b w:val="0"/>
          <w:i w:val="0"/>
        </w:rPr>
        <w:t>; smaller allocations have zero weather weight. Alphabetical ordering and the final-point remainder fix the floating-point allocation order. With zero total stock, the first representative receives weight 1.</w:t>
      </w:r>
    </w:p>
    <w:p>
      <w:r>
        <w:rPr>
          <w:b w:val="0"/>
          <w:i w:val="0"/>
        </w:rPr>
        <w:t xml:space="preserve">The stored </w:t>
      </w:r>
      <w:r>
        <w:rPr>
          <w:rFonts w:ascii="DejaVu Sans Mono" w:hAnsi="DejaVu Sans Mono"/>
          <w:b w:val="0"/>
          <w:i w:val="0"/>
          <w:sz w:val="17"/>
        </w:rPr>
        <w:t>weather_source_weights</w:t>
      </w:r>
      <w:r>
        <w:rPr>
          <w:b w:val="0"/>
          <w:i w:val="0"/>
        </w:rPr>
        <w:t xml:space="preserve"> remain attached to the asset after commissioning. </w:t>
      </w:r>
      <w:r>
        <w:rPr>
          <w:rFonts w:ascii="DejaVu Sans Mono" w:hAnsi="DejaVu Sans Mono"/>
          <w:b w:val="0"/>
          <w:i w:val="0"/>
          <w:sz w:val="17"/>
        </w:rPr>
        <w:t>source_weights</w:t>
      </w:r>
      <w:r>
        <w:rPr>
          <w:b w:val="0"/>
          <w:i w:val="0"/>
        </w:rPr>
        <w:t xml:space="preserve"> uses this explicit mapping first, then a single </w:t>
      </w:r>
      <w:r>
        <w:rPr>
          <w:rFonts w:ascii="DejaVu Sans Mono" w:hAnsi="DejaVu Sans Mono"/>
          <w:b w:val="0"/>
          <w:i w:val="0"/>
          <w:sz w:val="17"/>
        </w:rPr>
        <w:t>weather_source_asset_id</w:t>
      </w:r>
      <w:r>
        <w:rPr>
          <w:b w:val="0"/>
          <w:i w:val="0"/>
        </w:rPr>
        <w:t xml:space="preserve">, then an identity match through the asset, assigned generator, investment owner, source agent or base asset. Source names must identify representatives of the same technology. Weights must be finite and non-negative, with their sum at most 1 plus 0.000000000001. If </w:t>
      </w:r>
      <w:r>
        <w:rPr>
          <w:rFonts w:ascii="DejaVu Sans Mono" w:hAnsi="DejaVu Sans Mono"/>
          <w:b w:val="0"/>
          <w:i w:val="0"/>
          <w:sz w:val="17"/>
        </w:rPr>
        <w:t>deficit = 1.0 - sum(weights.values())</w:t>
      </w:r>
      <w:r>
        <w:rPr>
          <w:b w:val="0"/>
          <w:i w:val="0"/>
        </w:rPr>
        <w:t xml:space="preserve"> exceeds that tolerance, </w:t>
      </w:r>
      <w:r>
        <w:rPr>
          <w:rFonts w:ascii="DejaVu Sans Mono" w:hAnsi="DejaVu Sans Mono"/>
          <w:b w:val="0"/>
          <w:i w:val="0"/>
          <w:sz w:val="17"/>
        </w:rPr>
        <w:t>cohort</w:t>
      </w:r>
      <w:r>
        <w:rPr>
          <w:b w:val="0"/>
          <w:i w:val="0"/>
        </w:rPr>
        <w:t xml:space="preserve"> is the positive finite </w:t>
      </w:r>
      <w:r>
        <w:rPr>
          <w:rFonts w:ascii="DejaVu Sans Mono" w:hAnsi="DejaVu Sans Mono"/>
          <w:b w:val="0"/>
          <w:i w:val="0"/>
          <w:sz w:val="17"/>
        </w:rPr>
        <w:t>weather_​allocation_​cohort_​mw</w:t>
      </w:r>
      <w:r>
        <w:rPr>
          <w:b w:val="0"/>
          <w:i w:val="0"/>
        </w:rPr>
        <w:t xml:space="preserve"> and </w:t>
      </w:r>
      <w:r>
        <w:rPr>
          <w:rFonts w:ascii="DejaVu Sans Mono" w:hAnsi="DejaVu Sans Mono"/>
          <w:b w:val="0"/>
          <w:i w:val="0"/>
          <w:sz w:val="17"/>
        </w:rPr>
        <w:t>skipped</w:t>
      </w:r>
      <w:r>
        <w:rPr>
          <w:b w:val="0"/>
          <w:i w:val="0"/>
        </w:rPr>
        <w:t xml:space="preserve"> counts zero weights; acceptance requires </w:t>
      </w:r>
      <w:r>
        <w:rPr>
          <w:rFonts w:ascii="DejaVu Sans Mono" w:hAnsi="DejaVu Sans Mono"/>
          <w:b w:val="0"/>
          <w:i w:val="0"/>
          <w:sz w:val="17"/>
        </w:rPr>
        <w:t>deficit &lt;= skipped * 1e-6 / cohort + 1e-12</w:t>
      </w:r>
      <w:r>
        <w:rPr>
          <w:b w:val="0"/>
          <w:i w:val="0"/>
        </w:rPr>
        <w:t>.</w:t>
      </w:r>
    </w:p>
    <w:p>
      <w:pPr>
        <w:keepNext/>
      </w:pPr>
      <w:r>
        <w:rPr>
          <w:b w:val="0"/>
          <w:i w:val="0"/>
        </w:rPr>
        <w:t xml:space="preserve">The asset's availability is the weighted sum of its source curves. </w:t>
      </w:r>
      <w:r>
        <w:rPr>
          <w:rFonts w:ascii="DejaVu Sans Mono" w:hAnsi="DejaVu Sans Mono"/>
          <w:b w:val="0"/>
          <w:i w:val="0"/>
          <w:sz w:val="17"/>
        </w:rPr>
        <w:t>_map_lineages</w:t>
      </w:r>
      <w:r>
        <w:rPr>
          <w:b w:val="0"/>
          <w:i w:val="0"/>
        </w:rPr>
        <w:t xml:space="preserve"> applies the mapping </w:t>
      </w:r>
      <w:r>
        <w:rPr>
          <w:rFonts w:ascii="DejaVu Sans Mono" w:hAnsi="DejaVu Sans Mono"/>
          <w:b w:val="0"/>
          <w:i w:val="0"/>
          <w:sz w:val="17"/>
        </w:rPr>
        <w:t>weights</w:t>
      </w:r>
      <w:r>
        <w:rPr>
          <w:b w:val="0"/>
          <w:i w:val="0"/>
        </w:rPr>
        <w:t xml:space="preserve"> to each source's </w:t>
      </w:r>
      <w:r>
        <w:rPr>
          <w:rFonts w:ascii="DejaVu Sans Mono" w:hAnsi="DejaVu Sans Mono"/>
          <w:b w:val="0"/>
          <w:i w:val="0"/>
          <w:sz w:val="17"/>
        </w:rPr>
        <w:t>values</w:t>
      </w:r>
      <w:r>
        <w:rPr>
          <w:b w:val="0"/>
          <w:i w:val="0"/>
        </w:rPr>
        <w:t xml:space="preserve">; using subscript </w:t>
      </w:r>
      <w:r>
        <w:rPr>
          <w:rFonts w:ascii="DejaVu Sans Mono" w:hAnsi="DejaVu Sans Mono"/>
          <w:b w:val="0"/>
          <w:i w:val="0"/>
          <w:sz w:val="17"/>
        </w:rPr>
        <w:t>name</w:t>
      </w:r>
      <w:r>
        <w:rPr>
          <w:b w:val="0"/>
          <w:i w:val="0"/>
        </w:rPr>
        <w:t xml:space="preserve"> to select the source array, the resulting </w:t>
      </w:r>
      <w:r>
        <w:rPr>
          <w:rFonts w:ascii="DejaVu Sans Mono" w:hAnsi="DejaVu Sans Mono"/>
          <w:b w:val="0"/>
          <w:i w:val="0"/>
          <w:sz w:val="17"/>
        </w:rPr>
        <w:t>combined</w:t>
      </w:r>
      <w:r>
        <w:rPr>
          <w:b w:val="0"/>
          <w:i w:val="0"/>
        </w:rPr>
        <w:t xml:space="preserve"> is</w:t>
      </w:r>
    </w:p>
    <w:p>
      <w:pPr>
        <w:spacing w:after="160"/>
        <w:jc w:val="center"/>
      </w:pPr>
      <w:r>
        <w:drawing>
          <wp:inline xmlns:a="http://schemas.openxmlformats.org/drawingml/2006/main" xmlns:pic="http://schemas.openxmlformats.org/drawingml/2006/picture">
            <wp:extent cx="3718407" cy="363385"/>
            <wp:docPr id="27" name="Picture 27"/>
            <wp:cNvGraphicFramePr>
              <a:graphicFrameLocks noChangeAspect="1"/>
            </wp:cNvGraphicFramePr>
            <a:graphic>
              <a:graphicData uri="http://schemas.openxmlformats.org/drawingml/2006/picture">
                <pic:pic>
                  <pic:nvPicPr>
                    <pic:cNvPr id="0" name="eq-027.png"/>
                    <pic:cNvPicPr/>
                  </pic:nvPicPr>
                  <pic:blipFill>
                    <a:blip r:embed="rId37"/>
                    <a:stretch>
                      <a:fillRect/>
                    </a:stretch>
                  </pic:blipFill>
                  <pic:spPr>
                    <a:xfrm>
                      <a:off x="0" y="0"/>
                      <a:ext cx="3718407" cy="363385"/>
                    </a:xfrm>
                    <a:prstGeom prst="rect"/>
                  </pic:spPr>
                </pic:pic>
              </a:graphicData>
            </a:graphic>
          </wp:inline>
        </w:drawing>
      </w:r>
    </w:p>
    <w:p>
      <w:r>
        <w:rPr>
          <w:b w:val="0"/>
          <w:i w:val="0"/>
        </w:rPr>
        <w:t xml:space="preserve">Zonal allocation preserves the weather curve while dividing the asset's physical capacity. </w:t>
      </w:r>
      <w:r>
        <w:rPr>
          <w:rFonts w:ascii="DejaVu Sans Mono" w:hAnsi="DejaVu Sans Mono"/>
          <w:b w:val="0"/>
          <w:i w:val="0"/>
          <w:sz w:val="17"/>
        </w:rPr>
        <w:t>StagedBidAtCostPSM</w:t>
      </w:r>
      <w:r>
        <w:rPr>
          <w:b w:val="0"/>
          <w:i w:val="0"/>
        </w:rPr>
        <w:t xml:space="preserve"> multiplies </w:t>
      </w:r>
      <w:r>
        <w:rPr>
          <w:rFonts w:ascii="DejaVu Sans Mono" w:hAnsi="DejaVu Sans Mono"/>
          <w:b w:val="0"/>
          <w:i w:val="0"/>
          <w:sz w:val="17"/>
        </w:rPr>
        <w:t>capacity_mw</w:t>
      </w:r>
      <w:r>
        <w:rPr>
          <w:b w:val="0"/>
          <w:i w:val="0"/>
        </w:rPr>
        <w:t xml:space="preserve"> by each </w:t>
      </w:r>
      <w:r>
        <w:rPr>
          <w:rFonts w:ascii="DejaVu Sans Mono" w:hAnsi="DejaVu Sans Mono"/>
          <w:b w:val="0"/>
          <w:i w:val="0"/>
          <w:sz w:val="17"/>
        </w:rPr>
        <w:t>share</w:t>
      </w:r>
      <w:r>
        <w:rPr>
          <w:b w:val="0"/>
          <w:i w:val="0"/>
        </w:rPr>
        <w:t xml:space="preserve">; the shares sum to 1. It multiplies storage </w:t>
      </w:r>
      <w:r>
        <w:rPr>
          <w:rFonts w:ascii="DejaVu Sans Mono" w:hAnsi="DejaVu Sans Mono"/>
          <w:b w:val="0"/>
          <w:i w:val="0"/>
          <w:sz w:val="17"/>
        </w:rPr>
        <w:t>charge_power_mw</w:t>
      </w:r>
      <w:r>
        <w:rPr>
          <w:b w:val="0"/>
          <w:i w:val="0"/>
        </w:rPr>
        <w:t xml:space="preserve">, </w:t>
      </w:r>
      <w:r>
        <w:rPr>
          <w:rFonts w:ascii="DejaVu Sans Mono" w:hAnsi="DejaVu Sans Mono"/>
          <w:b w:val="0"/>
          <w:i w:val="0"/>
          <w:sz w:val="17"/>
        </w:rPr>
        <w:t>discharge_power_mw</w:t>
      </w:r>
      <w:r>
        <w:rPr>
          <w:b w:val="0"/>
          <w:i w:val="0"/>
        </w:rPr>
        <w:t xml:space="preserve">, </w:t>
      </w:r>
      <w:r>
        <w:rPr>
          <w:rFonts w:ascii="DejaVu Sans Mono" w:hAnsi="DejaVu Sans Mono"/>
          <w:b w:val="0"/>
          <w:i w:val="0"/>
          <w:sz w:val="17"/>
        </w:rPr>
        <w:t>energy_capacity_mwh</w:t>
      </w:r>
      <w:r>
        <w:rPr>
          <w:b w:val="0"/>
          <w:i w:val="0"/>
        </w:rPr>
        <w:t xml:space="preserve"> and </w:t>
      </w:r>
      <w:r>
        <w:rPr>
          <w:rFonts w:ascii="DejaVu Sans Mono" w:hAnsi="DejaVu Sans Mono"/>
          <w:b w:val="0"/>
          <w:i w:val="0"/>
          <w:sz w:val="17"/>
        </w:rPr>
        <w:t>initial_soc_mwh</w:t>
      </w:r>
      <w:r>
        <w:rPr>
          <w:b w:val="0"/>
          <w:i w:val="0"/>
        </w:rPr>
        <w:t xml:space="preserve"> by the same share. Chapter 7 defines the asset-to-zone mapping and network constraints.</w:t>
      </w:r>
    </w:p>
    <w:p>
      <w:pPr>
        <w:keepNext/>
      </w:pPr>
      <w:r>
        <w:rPr>
          <w:b w:val="0"/>
          <w:i w:val="0"/>
        </w:rPr>
        <w:t xml:space="preserve">The optional </w:t>
      </w:r>
      <w:r>
        <w:rPr>
          <w:rFonts w:ascii="DejaVu Sans Mono" w:hAnsi="DejaVu Sans Mono"/>
          <w:b w:val="0"/>
          <w:i w:val="0"/>
          <w:sz w:val="17"/>
        </w:rPr>
        <w:t>REPDERA5AggregatedWeather.build</w:t>
      </w:r>
      <w:r>
        <w:rPr>
          <w:b w:val="0"/>
          <w:i w:val="0"/>
        </w:rPr>
        <w:t xml:space="preserve"> interface combines caller-supplied project curves within each owner–technology–zone group. For allocation records </w:t>
      </w:r>
      <w:r>
        <w:rPr>
          <w:rFonts w:ascii="DejaVu Sans Mono" w:hAnsi="DejaVu Sans Mono"/>
          <w:b w:val="0"/>
          <w:i w:val="0"/>
          <w:sz w:val="17"/>
        </w:rPr>
        <w:t>rows</w:t>
      </w:r>
      <w:r>
        <w:rPr>
          <w:b w:val="0"/>
          <w:i w:val="0"/>
        </w:rPr>
        <w:t xml:space="preserve">, </w:t>
      </w:r>
      <w:r>
        <w:rPr>
          <w:rFonts w:ascii="DejaVu Sans Mono" w:hAnsi="DejaVu Sans Mono"/>
          <w:b w:val="0"/>
          <w:i w:val="0"/>
          <w:sz w:val="17"/>
        </w:rPr>
        <w:t>total</w:t>
      </w:r>
      <w:r>
        <w:rPr>
          <w:b w:val="0"/>
          <w:i w:val="0"/>
        </w:rPr>
        <w:t xml:space="preserve"> is total MW, </w:t>
      </w:r>
      <w:r>
        <w:rPr>
          <w:rFonts w:ascii="DejaVu Sans Mono" w:hAnsi="DejaVu Sans Mono"/>
          <w:b w:val="0"/>
          <w:i w:val="0"/>
          <w:sz w:val="17"/>
        </w:rPr>
        <w:t>values</w:t>
      </w:r>
      <w:r>
        <w:rPr>
          <w:b w:val="0"/>
          <w:i w:val="0"/>
        </w:rPr>
        <w:t xml:space="preserve"> is a project's dimensionless curve and </w:t>
      </w:r>
      <w:r>
        <w:rPr>
          <w:rFonts w:ascii="DejaVu Sans Mono" w:hAnsi="DejaVu Sans Mono"/>
          <w:b w:val="0"/>
          <w:i w:val="0"/>
          <w:sz w:val="17"/>
        </w:rPr>
        <w:t>weighted</w:t>
      </w:r>
      <w:r>
        <w:rPr>
          <w:b w:val="0"/>
          <w:i w:val="0"/>
        </w:rPr>
        <w:t xml:space="preserve"> is the group's curve:</w:t>
      </w:r>
    </w:p>
    <w:p>
      <w:pPr>
        <w:spacing w:after="160"/>
        <w:jc w:val="center"/>
      </w:pPr>
      <w:r>
        <w:drawing>
          <wp:inline xmlns:a="http://schemas.openxmlformats.org/drawingml/2006/main" xmlns:pic="http://schemas.openxmlformats.org/drawingml/2006/picture">
            <wp:extent cx="4298441" cy="845970"/>
            <wp:docPr id="28" name="Picture 28"/>
            <wp:cNvGraphicFramePr>
              <a:graphicFrameLocks noChangeAspect="1"/>
            </wp:cNvGraphicFramePr>
            <a:graphic>
              <a:graphicData uri="http://schemas.openxmlformats.org/drawingml/2006/picture">
                <pic:pic>
                  <pic:nvPicPr>
                    <pic:cNvPr id="0" name="eq-028.png"/>
                    <pic:cNvPicPr/>
                  </pic:nvPicPr>
                  <pic:blipFill>
                    <a:blip r:embed="rId38"/>
                    <a:stretch>
                      <a:fillRect/>
                    </a:stretch>
                  </pic:blipFill>
                  <pic:spPr>
                    <a:xfrm>
                      <a:off x="0" y="0"/>
                      <a:ext cx="4298441" cy="845970"/>
                    </a:xfrm>
                    <a:prstGeom prst="rect"/>
                  </pic:spPr>
                </pic:pic>
              </a:graphicData>
            </a:graphic>
          </wp:inline>
        </w:drawing>
      </w:r>
    </w:p>
    <w:p>
      <w:r>
        <w:rPr>
          <w:b w:val="0"/>
          <w:i w:val="0"/>
        </w:rPr>
        <w:t xml:space="preserve">This aggregation requires equal-length, finite project curves in [0,1] and positive </w:t>
      </w:r>
      <w:r>
        <w:rPr>
          <w:rFonts w:ascii="DejaVu Sans Mono" w:hAnsi="DejaVu Sans Mono"/>
          <w:b w:val="0"/>
          <w:i w:val="0"/>
          <w:sz w:val="17"/>
        </w:rPr>
        <w:t>total</w:t>
      </w:r>
      <w:r>
        <w:rPr>
          <w:b w:val="0"/>
          <w:i w:val="0"/>
        </w:rPr>
        <w:t xml:space="preserve">. Multiplication of </w:t>
      </w:r>
      <w:r>
        <w:rPr>
          <w:rFonts w:ascii="DejaVu Sans Mono" w:hAnsi="DejaVu Sans Mono"/>
          <w:b w:val="0"/>
          <w:i w:val="0"/>
          <w:sz w:val="17"/>
        </w:rPr>
        <w:t>weighted</w:t>
      </w:r>
      <w:r>
        <w:rPr>
          <w:b w:val="0"/>
          <w:i w:val="0"/>
        </w:rPr>
        <w:t xml:space="preserve"> by total MW gives the sum of the projects' available power. The zonal dispatch interface can instead use the representative curve directly for each allocated portion of an asset.</w:t>
      </w:r>
    </w:p>
    <w:p>
      <w:pPr>
        <w:pStyle w:val="Heading2"/>
      </w:pPr>
      <w:r>
        <w:rPr>
          <w:b w:val="0"/>
          <w:i w:val="0"/>
        </w:rPr>
        <w:t>Technology-average investment profiles</w:t>
      </w:r>
    </w:p>
    <w:p>
      <w:r>
        <w:rPr>
          <w:b w:val="0"/>
          <w:i w:val="0"/>
        </w:rPr>
        <w:t xml:space="preserve">Annual expansion calculations use one technology-average profile for solar, onshore wind and offshore wind. These inputs combine 2022 ERA5 data with the fleet and project assumptions embodied in </w:t>
      </w:r>
      <w:r>
        <w:rPr>
          <w:rFonts w:ascii="DejaVu Sans Mono" w:hAnsi="DejaVu Sans Mono"/>
          <w:b w:val="0"/>
          <w:i w:val="0"/>
          <w:sz w:val="17"/>
        </w:rPr>
        <w:t>sa.csv</w:t>
      </w:r>
      <w:r>
        <w:rPr>
          <w:b w:val="0"/>
          <w:i w:val="0"/>
        </w:rPr>
        <w:t xml:space="preserve">, </w:t>
      </w:r>
      <w:r>
        <w:rPr>
          <w:rFonts w:ascii="DejaVu Sans Mono" w:hAnsi="DejaVu Sans Mono"/>
          <w:b w:val="0"/>
          <w:i w:val="0"/>
          <w:sz w:val="17"/>
        </w:rPr>
        <w:t>wa.csv</w:t>
      </w:r>
      <w:r>
        <w:rPr>
          <w:b w:val="0"/>
          <w:i w:val="0"/>
        </w:rPr>
        <w:t xml:space="preserve"> and </w:t>
      </w:r>
      <w:r>
        <w:rPr>
          <w:rFonts w:ascii="DejaVu Sans Mono" w:hAnsi="DejaVu Sans Mono"/>
          <w:b w:val="0"/>
          <w:i w:val="0"/>
          <w:sz w:val="17"/>
        </w:rPr>
        <w:t>we.csv</w:t>
      </w:r>
      <w:r>
        <w:rPr>
          <w:b w:val="0"/>
          <w:i w:val="0"/>
        </w:rPr>
        <w:t xml:space="preserve">. Each public2 file contains 8,760 hourly values and declares </w:t>
      </w:r>
      <w:r>
        <w:rPr>
          <w:rFonts w:ascii="DejaVu Sans Mono" w:hAnsi="DejaVu Sans Mono"/>
          <w:b w:val="0"/>
          <w:i w:val="0"/>
          <w:sz w:val="17"/>
        </w:rPr>
        <w:t>interval_minutes=60</w:t>
      </w:r>
      <w:r>
        <w:rPr>
          <w:b w:val="0"/>
          <w:i w:val="0"/>
        </w:rPr>
        <w:t>; each value supplies two consecutive half-hours in source row order.</w:t>
      </w:r>
    </w:p>
    <w:p>
      <w:r>
        <w:rPr>
          <w:b w:val="0"/>
          <w:i w:val="0"/>
        </w:rPr>
        <w:t xml:space="preserve">The resulting </w:t>
      </w:r>
      <w:r>
        <w:rPr>
          <w:rFonts w:ascii="DejaVu Sans Mono" w:hAnsi="DejaVu Sans Mono"/>
          <w:b w:val="0"/>
          <w:i w:val="0"/>
          <w:sz w:val="17"/>
        </w:rPr>
        <w:t>availability</w:t>
      </w:r>
      <w:r>
        <w:rPr>
          <w:b w:val="0"/>
          <w:i w:val="0"/>
        </w:rPr>
        <w:t xml:space="preserve"> is dimensionless and supplies </w:t>
      </w:r>
      <w:r>
        <w:rPr>
          <w:rFonts w:ascii="DejaVu Sans Mono" w:hAnsi="DejaVu Sans Mono"/>
          <w:b w:val="0"/>
          <w:i w:val="0"/>
          <w:sz w:val="17"/>
        </w:rPr>
        <w:t>peak</w:t>
      </w:r>
      <w:r>
        <w:rPr>
          <w:b w:val="0"/>
          <w:i w:val="0"/>
        </w:rPr>
        <w:t xml:space="preserve"> and annual capacity headroom in Chapter 6. These investment profiles enter that rule directly. Dispatch availability follows the site sampling, time assignment, conversion and losses defined above.</w:t>
      </w:r>
    </w:p>
    <w:p>
      <w:pPr>
        <w:pStyle w:val="Heading1"/>
      </w:pPr>
      <w:r>
        <w:rPr>
          <w:b w:val="0"/>
          <w:i w:val="0"/>
        </w:rPr>
        <w:t>4 Operation and storage</w:t>
      </w:r>
    </w:p>
    <w:p>
      <w:r>
        <w:rPr>
          <w:b w:val="0"/>
          <w:i w:val="0"/>
        </w:rPr>
        <w:t>VALUE resolves demand and supply in half-hour periods, with generation, imports, exports and storage subject to their physical capacities. This chapter defines the operating clock, staged market clearing and storage-cost calculation. Chapter 5 gives the national Native dispatch algorithm, Chapter 7 adds network constraints, and Chapter 6 links annual operating results to investment.</w:t>
      </w:r>
    </w:p>
    <w:p>
      <w:pPr>
        <w:pStyle w:val="Heading2"/>
      </w:pPr>
      <w:r>
        <w:rPr>
          <w:b w:val="0"/>
          <w:i w:val="0"/>
        </w:rPr>
        <w:t>Operating clock and initial storage</w:t>
      </w:r>
    </w:p>
    <w:p>
      <w:pPr>
        <w:keepNext/>
      </w:pPr>
      <w:r>
        <w:rPr>
          <w:b w:val="0"/>
          <w:i w:val="0"/>
        </w:rPr>
        <w:t xml:space="preserve">A model year contains 365 days and 17,520 half-hour periods in UTC. </w:t>
      </w:r>
      <w:r>
        <w:rPr>
          <w:rFonts w:ascii="DejaVu Sans Mono" w:hAnsi="DejaVu Sans Mono"/>
          <w:b w:val="0"/>
          <w:i w:val="0"/>
          <w:sz w:val="17"/>
        </w:rPr>
        <w:t>period_start_utc</w:t>
      </w:r>
      <w:r>
        <w:rPr>
          <w:b w:val="0"/>
          <w:i w:val="0"/>
        </w:rPr>
        <w:t xml:space="preserve"> takes the zero-based </w:t>
      </w:r>
      <w:r>
        <w:rPr>
          <w:rFonts w:ascii="DejaVu Sans Mono" w:hAnsi="DejaVu Sans Mono"/>
          <w:b w:val="0"/>
          <w:i w:val="0"/>
          <w:sz w:val="17"/>
        </w:rPr>
        <w:t>period</w:t>
      </w:r>
      <w:r>
        <w:rPr>
          <w:b w:val="0"/>
          <w:i w:val="0"/>
        </w:rPr>
        <w:t xml:space="preserve">, divides it into </w:t>
      </w:r>
      <w:r>
        <w:rPr>
          <w:rFonts w:ascii="DejaVu Sans Mono" w:hAnsi="DejaVu Sans Mono"/>
          <w:b w:val="0"/>
          <w:i w:val="0"/>
          <w:sz w:val="17"/>
        </w:rPr>
        <w:t>day_index</w:t>
      </w:r>
      <w:r>
        <w:rPr>
          <w:b w:val="0"/>
          <w:i w:val="0"/>
        </w:rPr>
        <w:t xml:space="preserve"> and within-day </w:t>
      </w:r>
      <w:r>
        <w:rPr>
          <w:rFonts w:ascii="DejaVu Sans Mono" w:hAnsi="DejaVu Sans Mono"/>
          <w:b w:val="0"/>
          <w:i w:val="0"/>
          <w:sz w:val="17"/>
        </w:rPr>
        <w:t>offset</w:t>
      </w:r>
      <w:r>
        <w:rPr>
          <w:b w:val="0"/>
          <w:i w:val="0"/>
        </w:rPr>
        <w:t xml:space="preserve">, and adds </w:t>
      </w:r>
      <w:r>
        <w:rPr>
          <w:rFonts w:ascii="DejaVu Sans Mono" w:hAnsi="DejaVu Sans Mono"/>
          <w:b w:val="0"/>
          <w:i w:val="0"/>
          <w:sz w:val="17"/>
        </w:rPr>
        <w:t>offset×period_hours</w:t>
      </w:r>
      <w:r>
        <w:rPr>
          <w:b w:val="0"/>
          <w:i w:val="0"/>
        </w:rPr>
        <w:t xml:space="preserve"> hours to the date returned by </w:t>
      </w:r>
      <w:r>
        <w:rPr>
          <w:rFonts w:ascii="DejaVu Sans Mono" w:hAnsi="DejaVu Sans Mono"/>
          <w:b w:val="0"/>
          <w:i w:val="0"/>
          <w:sz w:val="17"/>
        </w:rPr>
        <w:t>model_day</w:t>
      </w:r>
      <w:r>
        <w:rPr>
          <w:b w:val="0"/>
          <w:i w:val="0"/>
        </w:rPr>
        <w:t xml:space="preserve">. With </w:t>
      </w:r>
      <w:r>
        <w:rPr>
          <w:rFonts w:ascii="DejaVu Sans Mono" w:hAnsi="DejaVu Sans Mono"/>
          <w:b w:val="0"/>
          <w:i w:val="0"/>
          <w:sz w:val="17"/>
        </w:rPr>
        <w:t>period_hours=0.5</w:t>
      </w:r>
      <w:r>
        <w:rPr>
          <w:b w:val="0"/>
          <w:i w:val="0"/>
        </w:rPr>
        <w:t>, the calculation is:</w:t>
      </w:r>
    </w:p>
    <w:p>
      <w:pPr>
        <w:spacing w:after="160"/>
        <w:jc w:val="center"/>
      </w:pPr>
      <w:r>
        <w:drawing>
          <wp:inline xmlns:a="http://schemas.openxmlformats.org/drawingml/2006/main" xmlns:pic="http://schemas.openxmlformats.org/drawingml/2006/picture">
            <wp:extent cx="4243654" cy="413848"/>
            <wp:docPr id="29" name="Picture 29"/>
            <wp:cNvGraphicFramePr>
              <a:graphicFrameLocks noChangeAspect="1"/>
            </wp:cNvGraphicFramePr>
            <a:graphic>
              <a:graphicData uri="http://schemas.openxmlformats.org/drawingml/2006/picture">
                <pic:pic>
                  <pic:nvPicPr>
                    <pic:cNvPr id="0" name="eq-029.png"/>
                    <pic:cNvPicPr/>
                  </pic:nvPicPr>
                  <pic:blipFill>
                    <a:blip r:embed="rId39"/>
                    <a:stretch>
                      <a:fillRect/>
                    </a:stretch>
                  </pic:blipFill>
                  <pic:spPr>
                    <a:xfrm>
                      <a:off x="0" y="0"/>
                      <a:ext cx="4243654" cy="413848"/>
                    </a:xfrm>
                    <a:prstGeom prst="rect"/>
                  </pic:spPr>
                </pic:pic>
              </a:graphicData>
            </a:graphic>
          </wp:inline>
        </w:drawing>
      </w:r>
    </w:p>
    <w:p>
      <w:r>
        <w:rPr>
          <w:rFonts w:ascii="DejaVu Sans Mono" w:hAnsi="DejaVu Sans Mono"/>
          <w:b w:val="0"/>
          <w:i w:val="0"/>
          <w:sz w:val="17"/>
        </w:rPr>
        <w:t>model_day</w:t>
      </w:r>
      <w:r>
        <w:rPr>
          <w:b w:val="0"/>
          <w:i w:val="0"/>
        </w:rPr>
        <w:t xml:space="preserve"> skips 29 February. Source series are aligned to this clock before dispatch; records declared as Europe/London are converted to UTC row by row. Output timestamps use ISO 8601 with </w:t>
      </w:r>
      <w:r>
        <w:rPr>
          <w:rFonts w:ascii="DejaVu Sans Mono" w:hAnsi="DejaVu Sans Mono"/>
          <w:b w:val="0"/>
          <w:i w:val="0"/>
          <w:sz w:val="17"/>
        </w:rPr>
        <w:t>Z</w:t>
      </w:r>
      <w:r>
        <w:rPr>
          <w:b w:val="0"/>
          <w:i w:val="0"/>
        </w:rPr>
        <w:t>. Period energy is measured in MWh, rated power in MW and inventory in MWh.</w:t>
      </w:r>
    </w:p>
    <w:p>
      <w:r>
        <w:rPr>
          <w:b w:val="0"/>
          <w:i w:val="0"/>
        </w:rPr>
        <w:t xml:space="preserve">Storage has a specified opening inventory at each model-year boundary. Native creates each year's storage agents with empty </w:t>
      </w:r>
      <w:r>
        <w:rPr>
          <w:rFonts w:ascii="DejaVu Sans Mono" w:hAnsi="DejaVu Sans Mono"/>
          <w:b w:val="0"/>
          <w:i w:val="0"/>
          <w:sz w:val="17"/>
        </w:rPr>
        <w:t>stored_energy</w:t>
      </w:r>
      <w:r>
        <w:rPr>
          <w:b w:val="0"/>
          <w:i w:val="0"/>
        </w:rPr>
        <w:t xml:space="preserve">; Chapter 5 defines the within-year batch updates. The chronological input used by staged, LP and DC dispatch assigns </w:t>
      </w:r>
      <w:r>
        <w:rPr>
          <w:rFonts w:ascii="DejaVu Sans Mono" w:hAnsi="DejaVu Sans Mono"/>
          <w:b w:val="0"/>
          <w:i w:val="0"/>
          <w:sz w:val="17"/>
        </w:rPr>
        <w:t>initial_​soc_​mwh=0.5×energy_​capacity_​mwh</w:t>
      </w:r>
      <w:r>
        <w:rPr>
          <w:b w:val="0"/>
          <w:i w:val="0"/>
        </w:rPr>
        <w:t>. These opening conditions apply each year. The preceding year's delivered sales and holding-time observations are retained for storage-cost preparation.</w:t>
      </w:r>
    </w:p>
    <w:p>
      <w:pPr>
        <w:pStyle w:val="Heading2"/>
      </w:pPr>
      <w:r>
        <w:rPr>
          <w:b w:val="0"/>
          <w:i w:val="0"/>
        </w:rPr>
        <w:t>Ahead market and balancing</w:t>
      </w:r>
    </w:p>
    <w:p>
      <w:pPr>
        <w:keepNext/>
      </w:pPr>
      <w:r>
        <w:rPr>
          <w:b w:val="0"/>
          <w:i w:val="0"/>
        </w:rPr>
        <w:t xml:space="preserve">The staged PSM clears forecast demand before balancing actual demand. For each non-storage </w:t>
      </w:r>
      <w:r>
        <w:rPr>
          <w:rFonts w:ascii="DejaVu Sans Mono" w:hAnsi="DejaVu Sans Mono"/>
          <w:b w:val="0"/>
          <w:i w:val="0"/>
          <w:sz w:val="17"/>
        </w:rPr>
        <w:t>resource</w:t>
      </w:r>
      <w:r>
        <w:rPr>
          <w:b w:val="0"/>
          <w:i w:val="0"/>
        </w:rPr>
        <w:t xml:space="preserve">, </w:t>
      </w:r>
      <w:r>
        <w:rPr>
          <w:rFonts w:ascii="DejaVu Sans Mono" w:hAnsi="DejaVu Sans Mono"/>
          <w:b w:val="0"/>
          <w:i w:val="0"/>
          <w:sz w:val="17"/>
        </w:rPr>
        <w:t>_ahead_offers</w:t>
      </w:r>
      <w:r>
        <w:rPr>
          <w:b w:val="0"/>
          <w:i w:val="0"/>
        </w:rPr>
        <w:t xml:space="preserve"> reads the period availability and marginal cost. </w:t>
      </w:r>
      <w:r>
        <w:rPr>
          <w:rFonts w:ascii="DejaVu Sans Mono" w:hAnsi="DejaVu Sans Mono"/>
          <w:b w:val="0"/>
          <w:i w:val="0"/>
          <w:sz w:val="17"/>
        </w:rPr>
        <w:t>availability</w:t>
      </w:r>
      <w:r>
        <w:rPr>
          <w:b w:val="0"/>
          <w:i w:val="0"/>
        </w:rPr>
        <w:t xml:space="preserve"> is the supplied availability clipped at zero; </w:t>
      </w:r>
      <w:r>
        <w:rPr>
          <w:rFonts w:ascii="DejaVu Sans Mono" w:hAnsi="DejaVu Sans Mono"/>
          <w:b w:val="0"/>
          <w:i w:val="0"/>
          <w:sz w:val="17"/>
        </w:rPr>
        <w:t>physical_cost</w:t>
      </w:r>
      <w:r>
        <w:rPr>
          <w:b w:val="0"/>
          <w:i w:val="0"/>
        </w:rPr>
        <w:t xml:space="preserve"> is the period-specific cost when supplied, otherwise the constant marginal cost. </w:t>
      </w:r>
      <w:r>
        <w:rPr>
          <w:rFonts w:ascii="DejaVu Sans Mono" w:hAnsi="DejaVu Sans Mono"/>
          <w:b w:val="0"/>
          <w:i w:val="0"/>
          <w:sz w:val="17"/>
        </w:rPr>
        <w:t>multiplier</w:t>
      </w:r>
      <w:r>
        <w:rPr>
          <w:b w:val="0"/>
          <w:i w:val="0"/>
        </w:rPr>
        <w:t xml:space="preserve">, from </w:t>
      </w:r>
      <w:r>
        <w:rPr>
          <w:rFonts w:ascii="DejaVu Sans Mono" w:hAnsi="DejaVu Sans Mono"/>
          <w:b w:val="0"/>
          <w:i w:val="0"/>
          <w:sz w:val="17"/>
        </w:rPr>
        <w:t>market.bid_multiplier</w:t>
      </w:r>
      <w:r>
        <w:rPr>
          <w:b w:val="0"/>
          <w:i w:val="0"/>
        </w:rPr>
        <w:t>, defaults to 1. The offered energy and price are:</w:t>
      </w:r>
    </w:p>
    <w:p>
      <w:pPr>
        <w:spacing w:after="160"/>
        <w:jc w:val="center"/>
      </w:pPr>
      <w:r>
        <w:drawing>
          <wp:inline xmlns:a="http://schemas.openxmlformats.org/drawingml/2006/main" xmlns:pic="http://schemas.openxmlformats.org/drawingml/2006/picture">
            <wp:extent cx="4542282" cy="621792"/>
            <wp:docPr id="30" name="Picture 30"/>
            <wp:cNvGraphicFramePr>
              <a:graphicFrameLocks noChangeAspect="1"/>
            </wp:cNvGraphicFramePr>
            <a:graphic>
              <a:graphicData uri="http://schemas.openxmlformats.org/drawingml/2006/picture">
                <pic:pic>
                  <pic:nvPicPr>
                    <pic:cNvPr id="0" name="eq-030.png"/>
                    <pic:cNvPicPr/>
                  </pic:nvPicPr>
                  <pic:blipFill>
                    <a:blip r:embed="rId40"/>
                    <a:stretch>
                      <a:fillRect/>
                    </a:stretch>
                  </pic:blipFill>
                  <pic:spPr>
                    <a:xfrm>
                      <a:off x="0" y="0"/>
                      <a:ext cx="4542282" cy="621792"/>
                    </a:xfrm>
                    <a:prstGeom prst="rect"/>
                  </pic:spPr>
                </pic:pic>
              </a:graphicData>
            </a:graphic>
          </wp:inline>
        </w:drawing>
      </w:r>
    </w:p>
    <w:p>
      <w:r>
        <w:rPr>
          <w:b w:val="0"/>
          <w:i w:val="0"/>
        </w:rPr>
        <w:t xml:space="preserve">A storage offer is bounded by discharge power and stored energy. </w:t>
      </w:r>
      <w:r>
        <w:rPr>
          <w:rFonts w:ascii="DejaVu Sans Mono" w:hAnsi="DejaVu Sans Mono"/>
          <w:b w:val="0"/>
          <w:i w:val="0"/>
          <w:sz w:val="17"/>
        </w:rPr>
        <w:t>soc[resource.asset_id]</w:t>
      </w:r>
      <w:r>
        <w:rPr>
          <w:b w:val="0"/>
          <w:i w:val="0"/>
        </w:rPr>
        <w:t xml:space="preserve"> is opening stored-side inventory, and </w:t>
      </w:r>
      <w:r>
        <w:rPr>
          <w:rFonts w:ascii="DejaVu Sans Mono" w:hAnsi="DejaVu Sans Mono"/>
          <w:b w:val="0"/>
          <w:i w:val="0"/>
          <w:sz w:val="17"/>
        </w:rPr>
        <w:t>discharge_efficiency</w:t>
      </w:r>
      <w:r>
        <w:rPr>
          <w:b w:val="0"/>
          <w:i w:val="0"/>
        </w:rPr>
        <w:t xml:space="preserve"> converts it to delivered energy:</w:t>
      </w:r>
    </w:p>
    <w:p>
      <w:pPr>
        <w:keepLines/>
        <w:spacing w:line="276" w:lineRule="auto" w:after="160"/>
      </w:pPr>
      <w:r>
        <w:rPr>
          <w:rFonts w:ascii="DejaVu Sans Mono" w:hAnsi="DejaVu Sans Mono"/>
          <w:b w:val="0"/>
          <w:i w:val="0"/>
          <w:sz w:val="17"/>
        </w:rPr>
        <w:t>available_mwh = min(</w:t>
        <w:br/>
        <w:t xml:space="preserve">    resource.discharge_​power_​mw * model_​input.period_​hours,</w:t>
        <w:br/>
        <w:t xml:space="preserve">    soc[resource.asset_id] * resource.discharge_​efficiency</w:t>
        <w:br/>
        <w:t>)</w:t>
        <w:br/>
      </w:r>
    </w:p>
    <w:p>
      <w:pPr>
        <w:keepNext/>
      </w:pPr>
      <w:r>
        <w:rPr>
          <w:rFonts w:ascii="DejaVu Sans Mono" w:hAnsi="DejaVu Sans Mono"/>
          <w:b w:val="0"/>
          <w:i w:val="0"/>
          <w:sz w:val="17"/>
        </w:rPr>
        <w:t>clear_ahead</w:t>
      </w:r>
      <w:r>
        <w:rPr>
          <w:b w:val="0"/>
          <w:i w:val="0"/>
        </w:rPr>
        <w:t xml:space="preserve"> sorts offers by </w:t>
      </w:r>
      <w:r>
        <w:rPr>
          <w:rFonts w:ascii="DejaVu Sans Mono" w:hAnsi="DejaVu Sans Mono"/>
          <w:b w:val="0"/>
          <w:i w:val="0"/>
          <w:sz w:val="17"/>
        </w:rPr>
        <w:t>price_gbp_per_mwh</w:t>
      </w:r>
      <w:r>
        <w:rPr>
          <w:b w:val="0"/>
          <w:i w:val="0"/>
        </w:rPr>
        <w:t xml:space="preserve">, then </w:t>
      </w:r>
      <w:r>
        <w:rPr>
          <w:rFonts w:ascii="DejaVu Sans Mono" w:hAnsi="DejaVu Sans Mono"/>
          <w:b w:val="0"/>
          <w:i w:val="0"/>
          <w:sz w:val="17"/>
        </w:rPr>
        <w:t>offer_id</w:t>
      </w:r>
      <w:r>
        <w:rPr>
          <w:b w:val="0"/>
          <w:i w:val="0"/>
        </w:rPr>
        <w:t xml:space="preserve">. It begins with </w:t>
      </w:r>
      <w:r>
        <w:rPr>
          <w:rFonts w:ascii="DejaVu Sans Mono" w:hAnsi="DejaVu Sans Mono"/>
          <w:b w:val="0"/>
          <w:i w:val="0"/>
          <w:sz w:val="17"/>
        </w:rPr>
        <w:t>remaining=forecast_​demand_​mwh</w:t>
      </w:r>
      <w:r>
        <w:rPr>
          <w:b w:val="0"/>
          <w:i w:val="0"/>
        </w:rPr>
        <w:t xml:space="preserve">, accepts the smaller of remaining demand and each offer’s available energy, and reduces remaining demand by that quantity. The last accepted price becomes </w:t>
      </w:r>
      <w:r>
        <w:rPr>
          <w:rFonts w:ascii="DejaVu Sans Mono" w:hAnsi="DejaVu Sans Mono"/>
          <w:b w:val="0"/>
          <w:i w:val="0"/>
          <w:sz w:val="17"/>
        </w:rPr>
        <w:t>clearing_​price_​gbp_​per_​mwh</w:t>
      </w:r>
      <w:r>
        <w:rPr>
          <w:b w:val="0"/>
          <w:i w:val="0"/>
        </w:rPr>
        <w:t xml:space="preserve">; all accepted energy receives that price. Clearing stops at a remaining demand of 10⁻¹² MWh. Zero accepted supply has a zero clearing price; the remaining forecast shortfall enters </w:t>
      </w:r>
      <w:r>
        <w:rPr>
          <w:rFonts w:ascii="DejaVu Sans Mono" w:hAnsi="DejaVu Sans Mono"/>
          <w:b w:val="0"/>
          <w:i w:val="0"/>
          <w:sz w:val="17"/>
        </w:rPr>
        <w:t>unserved_forecast_mwh</w:t>
      </w:r>
      <w:r>
        <w:rPr>
          <w:b w:val="0"/>
          <w:i w:val="0"/>
        </w:rPr>
        <w:t>.</w:t>
      </w:r>
    </w:p>
    <w:p>
      <w:pPr>
        <w:spacing w:after="160"/>
        <w:jc w:val="center"/>
      </w:pPr>
      <w:r>
        <w:drawing>
          <wp:inline xmlns:a="http://schemas.openxmlformats.org/drawingml/2006/main" xmlns:pic="http://schemas.openxmlformats.org/drawingml/2006/picture">
            <wp:extent cx="6217920" cy="167029"/>
            <wp:docPr id="31" name="Picture 31"/>
            <wp:cNvGraphicFramePr>
              <a:graphicFrameLocks noChangeAspect="1"/>
            </wp:cNvGraphicFramePr>
            <a:graphic>
              <a:graphicData uri="http://schemas.openxmlformats.org/drawingml/2006/picture">
                <pic:pic>
                  <pic:nvPicPr>
                    <pic:cNvPr id="0" name="eq-031.png"/>
                    <pic:cNvPicPr/>
                  </pic:nvPicPr>
                  <pic:blipFill>
                    <a:blip r:embed="rId41"/>
                    <a:stretch>
                      <a:fillRect/>
                    </a:stretch>
                  </pic:blipFill>
                  <pic:spPr>
                    <a:xfrm>
                      <a:off x="0" y="0"/>
                      <a:ext cx="6217920" cy="167029"/>
                    </a:xfrm>
                    <a:prstGeom prst="rect"/>
                  </pic:spPr>
                </pic:pic>
              </a:graphicData>
            </a:graphic>
          </wp:inline>
        </w:drawing>
      </w:r>
    </w:p>
    <w:p>
      <w:r>
        <w:rPr>
          <w:b w:val="0"/>
          <w:i w:val="0"/>
        </w:rPr>
        <w:t xml:space="preserve">Balancing responds to the difference between actual demand and the ahead schedule. In </w:t>
      </w:r>
      <w:r>
        <w:rPr>
          <w:rFonts w:ascii="DejaVu Sans Mono" w:hAnsi="DejaVu Sans Mono"/>
          <w:b w:val="0"/>
          <w:i w:val="0"/>
          <w:sz w:val="17"/>
        </w:rPr>
        <w:t>CopperplateBalancing.clear</w:t>
      </w:r>
      <w:r>
        <w:rPr>
          <w:b w:val="0"/>
          <w:i w:val="0"/>
        </w:rPr>
        <w:t xml:space="preserve">, </w:t>
      </w:r>
      <w:r>
        <w:rPr>
          <w:rFonts w:ascii="DejaVu Sans Mono" w:hAnsi="DejaVu Sans Mono"/>
          <w:b w:val="0"/>
          <w:i w:val="0"/>
          <w:sz w:val="17"/>
        </w:rPr>
        <w:t>final_dispatch</w:t>
      </w:r>
      <w:r>
        <w:rPr>
          <w:b w:val="0"/>
          <w:i w:val="0"/>
        </w:rPr>
        <w:t xml:space="preserve"> initially equals </w:t>
      </w:r>
      <w:r>
        <w:rPr>
          <w:rFonts w:ascii="DejaVu Sans Mono" w:hAnsi="DejaVu Sans Mono"/>
          <w:b w:val="0"/>
          <w:i w:val="0"/>
          <w:sz w:val="17"/>
        </w:rPr>
        <w:t>schedule_mwh_by_asset</w:t>
      </w:r>
      <w:r>
        <w:rPr>
          <w:b w:val="0"/>
          <w:i w:val="0"/>
        </w:rPr>
        <w:t xml:space="preserve">, and </w:t>
      </w:r>
      <w:r>
        <w:rPr>
          <w:rFonts w:ascii="DejaVu Sans Mono" w:hAnsi="DejaVu Sans Mono"/>
          <w:b w:val="0"/>
          <w:i w:val="0"/>
          <w:sz w:val="17"/>
        </w:rPr>
        <w:t>gap_​mwh=real_​demand_​mwh−sum(final_​dispatch.values())</w:t>
      </w:r>
      <w:r>
        <w:rPr>
          <w:b w:val="0"/>
          <w:i w:val="0"/>
        </w:rPr>
        <w:t>. Generation and imports offer their unused available energy upward and their scheduled energy downward. Storage can first withdraw scheduled discharge and then charge within its power, energy and efficiency limits. Exports enter as negative injections at the declared connection location and capacity.</w:t>
      </w:r>
    </w:p>
    <w:p>
      <w:pPr>
        <w:pStyle w:val="Heading2"/>
      </w:pPr>
      <w:r>
        <w:rPr>
          <w:b w:val="0"/>
          <w:i w:val="0"/>
        </w:rPr>
        <w:t>Downward bids and settlement</w:t>
      </w:r>
    </w:p>
    <w:p>
      <w:r>
        <w:rPr>
          <w:b w:val="0"/>
          <w:i w:val="0"/>
        </w:rPr>
        <w:t xml:space="preserve">Downward settlement returns the accepted reduction multiplied by its bid price. Thus an upward adjustment has positive signed </w:t>
      </w:r>
      <w:r>
        <w:rPr>
          <w:rFonts w:ascii="DejaVu Sans Mono" w:hAnsi="DejaVu Sans Mono"/>
          <w:b w:val="0"/>
          <w:i w:val="0"/>
          <w:sz w:val="17"/>
        </w:rPr>
        <w:t>delta</w:t>
      </w:r>
      <w:r>
        <w:rPr>
          <w:b w:val="0"/>
          <w:i w:val="0"/>
        </w:rPr>
        <w:t xml:space="preserve">, a downward adjustment has negative </w:t>
      </w:r>
      <w:r>
        <w:rPr>
          <w:rFonts w:ascii="DejaVu Sans Mono" w:hAnsi="DejaVu Sans Mono"/>
          <w:b w:val="0"/>
          <w:i w:val="0"/>
          <w:sz w:val="17"/>
        </w:rPr>
        <w:t>delta</w:t>
      </w:r>
      <w:r>
        <w:rPr>
          <w:b w:val="0"/>
          <w:i w:val="0"/>
        </w:rPr>
        <w:t xml:space="preserve">, and both use </w:t>
      </w:r>
      <w:r>
        <w:rPr>
          <w:rFonts w:ascii="DejaVu Sans Mono" w:hAnsi="DejaVu Sans Mono"/>
          <w:b w:val="0"/>
          <w:i w:val="0"/>
          <w:sz w:val="17"/>
        </w:rPr>
        <w:t>cashflow=delta×price_​gbp_​per_​mwh</w:t>
      </w:r>
      <w:r>
        <w:rPr>
          <w:b w:val="0"/>
          <w:i w:val="0"/>
        </w:rPr>
        <w:t xml:space="preserve">. The staged and network pathways construct these prices with </w:t>
      </w:r>
      <w:r>
        <w:rPr>
          <w:rFonts w:ascii="DejaVu Sans Mono" w:hAnsi="DejaVu Sans Mono"/>
          <w:b w:val="0"/>
          <w:i w:val="0"/>
          <w:sz w:val="17"/>
        </w:rPr>
        <w:t>network-economic-v2</w:t>
      </w:r>
      <w:r>
        <w:rPr>
          <w:b w:val="0"/>
          <w:i w:val="0"/>
        </w:rPr>
        <w:t>.</w:t>
      </w:r>
    </w:p>
    <w:p>
      <w:pPr>
        <w:keepNext/>
      </w:pPr>
      <w:r>
        <w:rPr>
          <w:b w:val="0"/>
          <w:i w:val="0"/>
        </w:rPr>
        <w:t xml:space="preserve">Thermal downward bids divide the ahead schedule into the running range and the minimum-stable-output segment. </w:t>
      </w:r>
      <w:r>
        <w:rPr>
          <w:rFonts w:ascii="DejaVu Sans Mono" w:hAnsi="DejaVu Sans Mono"/>
          <w:b w:val="0"/>
          <w:i w:val="0"/>
          <w:sz w:val="17"/>
        </w:rPr>
        <w:t>thermal_dec_segments</w:t>
      </w:r>
      <w:r>
        <w:rPr>
          <w:b w:val="0"/>
          <w:i w:val="0"/>
        </w:rPr>
        <w:t xml:space="preserve"> sets </w:t>
      </w:r>
      <w:r>
        <w:rPr>
          <w:rFonts w:ascii="DejaVu Sans Mono" w:hAnsi="DejaVu Sans Mono"/>
          <w:b w:val="0"/>
          <w:i w:val="0"/>
          <w:sz w:val="17"/>
        </w:rPr>
        <w:t>shutdown_​mwh=min_​stable_​fraction×scheduled_​mwh</w:t>
      </w:r>
      <w:r>
        <w:rPr>
          <w:b w:val="0"/>
          <w:i w:val="0"/>
        </w:rPr>
        <w:t xml:space="preserve"> and puts the remainder in </w:t>
      </w:r>
      <w:r>
        <w:rPr>
          <w:rFonts w:ascii="DejaVu Sans Mono" w:hAnsi="DejaVu Sans Mono"/>
          <w:b w:val="0"/>
          <w:i w:val="0"/>
          <w:sz w:val="17"/>
        </w:rPr>
        <w:t>running_mwh</w:t>
      </w:r>
      <w:r>
        <w:rPr>
          <w:b w:val="0"/>
          <w:i w:val="0"/>
        </w:rPr>
        <w:t xml:space="preserve">. Running-range price is avoided marginal cost after the downward multiplier and policy support. Shutdown price deducts restart expenditure spread across the expected shutdown interval. In </w:t>
      </w:r>
      <w:r>
        <w:rPr>
          <w:rFonts w:ascii="DejaVu Sans Mono" w:hAnsi="DejaVu Sans Mono"/>
          <w:b w:val="0"/>
          <w:i w:val="0"/>
          <w:sz w:val="17"/>
        </w:rPr>
        <w:t>RestartParameters.net_​saving</w:t>
      </w:r>
      <w:r>
        <w:rPr>
          <w:b w:val="0"/>
          <w:i w:val="0"/>
        </w:rPr>
        <w:t xml:space="preserve">, </w:t>
      </w:r>
      <w:r>
        <w:rPr>
          <w:rFonts w:ascii="DejaVu Sans Mono" w:hAnsi="DejaVu Sans Mono"/>
          <w:b w:val="0"/>
          <w:i w:val="0"/>
          <w:sz w:val="17"/>
        </w:rPr>
        <w:t>avoided_cost</w:t>
      </w:r>
      <w:r>
        <w:rPr>
          <w:b w:val="0"/>
          <w:i w:val="0"/>
        </w:rPr>
        <w:t xml:space="preserve"> is GBP/MWh, </w:t>
      </w:r>
      <w:r>
        <w:rPr>
          <w:rFonts w:ascii="DejaVu Sans Mono" w:hAnsi="DejaVu Sans Mono"/>
          <w:b w:val="0"/>
          <w:i w:val="0"/>
          <w:sz w:val="17"/>
        </w:rPr>
        <w:t>restart_cost(horizon_h)</w:t>
      </w:r>
      <w:r>
        <w:rPr>
          <w:b w:val="0"/>
          <w:i w:val="0"/>
        </w:rPr>
        <w:t xml:space="preserve"> is GBP/MW per start, and </w:t>
      </w:r>
      <w:r>
        <w:rPr>
          <w:rFonts w:ascii="DejaVu Sans Mono" w:hAnsi="DejaVu Sans Mono"/>
          <w:b w:val="0"/>
          <w:i w:val="0"/>
          <w:sz w:val="17"/>
        </w:rPr>
        <w:t>horizon_h</w:t>
      </w:r>
      <w:r>
        <w:rPr>
          <w:b w:val="0"/>
          <w:i w:val="0"/>
        </w:rPr>
        <w:t xml:space="preserve"> is hours:</w:t>
      </w:r>
    </w:p>
    <w:p>
      <w:pPr>
        <w:spacing w:after="160"/>
        <w:jc w:val="center"/>
      </w:pPr>
      <w:r>
        <w:drawing>
          <wp:inline xmlns:a="http://schemas.openxmlformats.org/drawingml/2006/main" xmlns:pic="http://schemas.openxmlformats.org/drawingml/2006/picture">
            <wp:extent cx="4347667" cy="610319"/>
            <wp:docPr id="32" name="Picture 32"/>
            <wp:cNvGraphicFramePr>
              <a:graphicFrameLocks noChangeAspect="1"/>
            </wp:cNvGraphicFramePr>
            <a:graphic>
              <a:graphicData uri="http://schemas.openxmlformats.org/drawingml/2006/picture">
                <pic:pic>
                  <pic:nvPicPr>
                    <pic:cNvPr id="0" name="eq-032.png"/>
                    <pic:cNvPicPr/>
                  </pic:nvPicPr>
                  <pic:blipFill>
                    <a:blip r:embed="rId42"/>
                    <a:stretch>
                      <a:fillRect/>
                    </a:stretch>
                  </pic:blipFill>
                  <pic:spPr>
                    <a:xfrm>
                      <a:off x="0" y="0"/>
                      <a:ext cx="4347667" cy="610319"/>
                    </a:xfrm>
                    <a:prstGeom prst="rect"/>
                  </pic:spPr>
                </pic:pic>
              </a:graphicData>
            </a:graphic>
          </wp:inline>
        </w:drawing>
      </w:r>
    </w:p>
    <w:p>
      <w:r>
        <w:rPr>
          <w:rFonts w:ascii="DejaVu Sans Mono" w:hAnsi="DejaVu Sans Mono"/>
          <w:b w:val="0"/>
          <w:i w:val="0"/>
          <w:sz w:val="17"/>
        </w:rPr>
        <w:t>shutdown_horizon_hours</w:t>
      </w:r>
      <w:r>
        <w:rPr>
          <w:b w:val="0"/>
          <w:i w:val="0"/>
        </w:rPr>
        <w:t xml:space="preserve"> counts the current period plus consecutive later periods whose forecast demand is covered by declared VRE and nuclear availability. Its returned duration is </w:t>
      </w:r>
      <w:r>
        <w:rPr>
          <w:rFonts w:ascii="DejaVu Sans Mono" w:hAnsi="DejaVu Sans Mono"/>
          <w:b w:val="0"/>
          <w:i w:val="0"/>
          <w:sz w:val="17"/>
        </w:rPr>
        <w:t>(1+run_​after[period])×period_​hours</w:t>
      </w:r>
      <w:r>
        <w:rPr>
          <w:b w:val="0"/>
          <w:i w:val="0"/>
        </w:rPr>
        <w:t xml:space="preserve">. When this duration is shorter than </w:t>
      </w:r>
      <w:r>
        <w:rPr>
          <w:rFonts w:ascii="DejaVu Sans Mono" w:hAnsi="DejaVu Sans Mono"/>
          <w:b w:val="0"/>
          <w:i w:val="0"/>
          <w:sz w:val="17"/>
        </w:rPr>
        <w:t>min_down_time_h</w:t>
      </w:r>
      <w:r>
        <w:rPr>
          <w:b w:val="0"/>
          <w:i w:val="0"/>
        </w:rPr>
        <w:t xml:space="preserve">, </w:t>
      </w:r>
      <w:r>
        <w:rPr>
          <w:rFonts w:ascii="DejaVu Sans Mono" w:hAnsi="DejaVu Sans Mono"/>
          <w:b w:val="0"/>
          <w:i w:val="0"/>
          <w:sz w:val="17"/>
        </w:rPr>
        <w:t>last_resort_price</w:t>
      </w:r>
      <w:r>
        <w:rPr>
          <w:b w:val="0"/>
          <w:i w:val="0"/>
        </w:rPr>
        <w:t xml:space="preserve"> places the shutdown bid at least 0.01 GBP/MWh below the lowest rounded ordinary downward bid. Otherwise the shutdown price is its net saving. With an empty ordinary-bid set, net saving supplies the price.</w:t>
      </w:r>
    </w:p>
    <w:p>
      <w:r>
        <w:rPr>
          <w:b w:val="0"/>
          <w:i w:val="0"/>
        </w:rPr>
        <w:t>CCGT uses a minimum stable fraction of 0.50, minimum downtime of 6 h and hot, warm and cold restart costs of 113.7, 134.4 and 155.0 GBP/MW. OCGT uses 0.50, 0.5 h and 175.7 GBP/MW; biomass uses 0.35, 6 h and 129.2 GBP/MW. CCGT selects hot starts below 12 h, warm starts from 12 through 48 h and cold starts above 48 h. These costs are in 2025 GBP. The running range precedes the unit’s shutdown segment; the shutdown segment precedes unsupported wind only when its net saving is positive. Wind precedes shutdown at a price tie.</w:t>
      </w:r>
    </w:p>
    <w:p>
      <w:r>
        <w:rPr>
          <w:b w:val="0"/>
          <w:i w:val="0"/>
        </w:rPr>
        <w:t xml:space="preserve">Other downward prices use </w:t>
      </w:r>
      <w:r>
        <w:rPr>
          <w:rFonts w:ascii="DejaVu Sans Mono" w:hAnsi="DejaVu Sans Mono"/>
          <w:b w:val="0"/>
          <w:i w:val="0"/>
          <w:sz w:val="17"/>
        </w:rPr>
        <w:t>resource_dec_price</w:t>
      </w:r>
      <w:r>
        <w:rPr>
          <w:b w:val="0"/>
          <w:i w:val="0"/>
        </w:rPr>
        <w:t xml:space="preserve">. Imports return </w:t>
      </w:r>
      <w:r>
        <w:rPr>
          <w:rFonts w:ascii="DejaVu Sans Mono" w:hAnsi="DejaVu Sans Mono"/>
          <w:b w:val="0"/>
          <w:i w:val="0"/>
          <w:sz w:val="17"/>
        </w:rPr>
        <w:t>marginal×dec_multiplier</w:t>
      </w:r>
      <w:r>
        <w:rPr>
          <w:b w:val="0"/>
          <w:i w:val="0"/>
        </w:rPr>
        <w:t xml:space="preserve">; wind, solar and run-of-river hydro return </w:t>
      </w:r>
      <w:r>
        <w:rPr>
          <w:rFonts w:ascii="DejaVu Sans Mono" w:hAnsi="DejaVu Sans Mono"/>
          <w:b w:val="0"/>
          <w:i w:val="0"/>
          <w:sz w:val="17"/>
        </w:rPr>
        <w:t>−support</w:t>
      </w:r>
      <w:r>
        <w:rPr>
          <w:b w:val="0"/>
          <w:i w:val="0"/>
        </w:rPr>
        <w:t xml:space="preserve">; nuclear returns </w:t>
      </w:r>
      <w:r>
        <w:rPr>
          <w:rFonts w:ascii="DejaVu Sans Mono" w:hAnsi="DejaVu Sans Mono"/>
          <w:b w:val="0"/>
          <w:i w:val="0"/>
          <w:sz w:val="17"/>
        </w:rPr>
        <w:t>marginal×dec_​multiplier−support−premium</w:t>
      </w:r>
      <w:r>
        <w:rPr>
          <w:b w:val="0"/>
          <w:i w:val="0"/>
        </w:rPr>
        <w:t xml:space="preserve">; other fuel resources return </w:t>
      </w:r>
      <w:r>
        <w:rPr>
          <w:rFonts w:ascii="DejaVu Sans Mono" w:hAnsi="DejaVu Sans Mono"/>
          <w:b w:val="0"/>
          <w:i w:val="0"/>
          <w:sz w:val="17"/>
        </w:rPr>
        <w:t>marginal×dec_​multiplier−support</w:t>
      </w:r>
      <w:r>
        <w:rPr>
          <w:b w:val="0"/>
          <w:i w:val="0"/>
        </w:rPr>
        <w:t xml:space="preserve">. </w:t>
      </w:r>
      <w:r>
        <w:rPr>
          <w:rFonts w:ascii="DejaVu Sans Mono" w:hAnsi="DejaVu Sans Mono"/>
          <w:b w:val="0"/>
          <w:i w:val="0"/>
          <w:sz w:val="17"/>
        </w:rPr>
        <w:t>market.dec_multiplier</w:t>
      </w:r>
      <w:r>
        <w:rPr>
          <w:b w:val="0"/>
          <w:i w:val="0"/>
        </w:rPr>
        <w:t xml:space="preserve"> defaults to 1 and is at most </w:t>
      </w:r>
      <w:r>
        <w:rPr>
          <w:rFonts w:ascii="DejaVu Sans Mono" w:hAnsi="DejaVu Sans Mono"/>
          <w:b w:val="0"/>
          <w:i w:val="0"/>
          <w:sz w:val="17"/>
        </w:rPr>
        <w:t>market.bid_multiplier</w:t>
      </w:r>
      <w:r>
        <w:rPr>
          <w:b w:val="0"/>
          <w:i w:val="0"/>
        </w:rPr>
        <w:t xml:space="preserve">. Unlisted policy support is zero, while nuclear’s default premium is 100 GBP/MWh. Storage values downward adjustment at its upward bid multiplied by round-trip efficiency. </w:t>
      </w:r>
      <w:r>
        <w:rPr>
          <w:rFonts w:ascii="DejaVu Sans Mono" w:hAnsi="DejaVu Sans Mono"/>
          <w:b w:val="0"/>
          <w:i w:val="0"/>
          <w:sz w:val="17"/>
        </w:rPr>
        <w:t>storage_dec_price</w:t>
      </w:r>
      <w:r>
        <w:rPr>
          <w:b w:val="0"/>
          <w:i w:val="0"/>
        </w:rPr>
        <w:t xml:space="preserve"> also applies the lowest available upward price and the store's own upward price as bounds; all prices in this calculation are GBP/MWh:</w:t>
      </w:r>
    </w:p>
    <w:p>
      <w:pPr>
        <w:keepLines/>
        <w:spacing w:line="276" w:lineRule="auto" w:after="160"/>
      </w:pPr>
      <w:r>
        <w:rPr>
          <w:rFonts w:ascii="DejaVu Sans Mono" w:hAnsi="DejaVu Sans Mono"/>
          <w:b w:val="0"/>
          <w:i w:val="0"/>
          <w:sz w:val="17"/>
        </w:rPr>
        <w:t>value = up_price_gbp_per_mwh * charge_efficiency * discharge_efficiency</w:t>
        <w:br/>
        <w:t>if lowest_​inc_​price_​gbp_​per_​mwh is not None:</w:t>
        <w:br/>
        <w:t xml:space="preserve">    value = min(value, lowest_​inc_​price_​gbp_​per_​mwh)</w:t>
        <w:br/>
        <w:t>value = min(value, up_price_gbp_per_mwh)</w:t>
        <w:br/>
      </w:r>
    </w:p>
    <w:p>
      <w:r>
        <w:rPr>
          <w:b w:val="0"/>
          <w:i w:val="0"/>
        </w:rPr>
        <w:t>Copperplate balancing ranks upward bids by increasing price, with storage after generation at a price tie; bids above VoLL remain outside the accepted set. It ranks downward bids by decreasing price rounded to 0.01 GBP/MWh, then by class, then by exact price. The class order is fuel running range, imports, storage, run-of-river hydro, VRE, thermal shutdown, nuclear and short-downtime shutdown. Equal-price bids of the same direction and class share acceptance in proportion to available energy.</w:t>
      </w:r>
    </w:p>
    <w:p>
      <w:r>
        <w:rPr>
          <w:b w:val="0"/>
          <w:i w:val="0"/>
        </w:rPr>
        <w:t xml:space="preserve">For each equal-price group, </w:t>
      </w:r>
      <w:r>
        <w:rPr>
          <w:rFonts w:ascii="DejaVu Sans Mono" w:hAnsi="DejaVu Sans Mono"/>
          <w:b w:val="0"/>
          <w:i w:val="0"/>
          <w:sz w:val="17"/>
        </w:rPr>
        <w:t>total</w:t>
      </w:r>
      <w:r>
        <w:rPr>
          <w:b w:val="0"/>
          <w:i w:val="0"/>
        </w:rPr>
        <w:t xml:space="preserve"> is available MWh and </w:t>
      </w:r>
      <w:r>
        <w:rPr>
          <w:rFonts w:ascii="DejaVu Sans Mono" w:hAnsi="DejaVu Sans Mono"/>
          <w:b w:val="0"/>
          <w:i w:val="0"/>
          <w:sz w:val="17"/>
        </w:rPr>
        <w:t>fraction</w:t>
      </w:r>
      <w:r>
        <w:rPr>
          <w:b w:val="0"/>
          <w:i w:val="0"/>
        </w:rPr>
        <w:t xml:space="preserve"> is the smaller of the imbalance-to-available ratio and 1. The resulting </w:t>
      </w:r>
      <w:r>
        <w:rPr>
          <w:rFonts w:ascii="DejaVu Sans Mono" w:hAnsi="DejaVu Sans Mono"/>
          <w:b w:val="0"/>
          <w:i w:val="0"/>
          <w:sz w:val="17"/>
        </w:rPr>
        <w:t>delta</w:t>
      </w:r>
      <w:r>
        <w:rPr>
          <w:b w:val="0"/>
          <w:i w:val="0"/>
        </w:rPr>
        <w:t xml:space="preserve"> changes </w:t>
      </w:r>
      <w:r>
        <w:rPr>
          <w:rFonts w:ascii="DejaVu Sans Mono" w:hAnsi="DejaVu Sans Mono"/>
          <w:b w:val="0"/>
          <w:i w:val="0"/>
          <w:sz w:val="17"/>
        </w:rPr>
        <w:t>final_dispatch</w:t>
      </w:r>
      <w:r>
        <w:rPr>
          <w:b w:val="0"/>
          <w:i w:val="0"/>
        </w:rPr>
        <w:t xml:space="preserve"> and earns </w:t>
      </w:r>
      <w:r>
        <w:rPr>
          <w:rFonts w:ascii="DejaVu Sans Mono" w:hAnsi="DejaVu Sans Mono"/>
          <w:b w:val="0"/>
          <w:i w:val="0"/>
          <w:sz w:val="17"/>
        </w:rPr>
        <w:t>cashflow</w:t>
      </w:r>
      <w:r>
        <w:rPr>
          <w:b w:val="0"/>
          <w:i w:val="0"/>
        </w:rPr>
        <w:t xml:space="preserve">. Positive residual demand becomes </w:t>
      </w:r>
      <w:r>
        <w:rPr>
          <w:rFonts w:ascii="DejaVu Sans Mono" w:hAnsi="DejaVu Sans Mono"/>
          <w:b w:val="0"/>
          <w:i w:val="0"/>
          <w:sz w:val="17"/>
        </w:rPr>
        <w:t>blackout_mwh</w:t>
      </w:r>
      <w:r>
        <w:rPr>
          <w:b w:val="0"/>
          <w:i w:val="0"/>
        </w:rPr>
        <w:t>. Final supply plus blackout must match actual demand within 10⁻⁸ MWh. Zonal balancing applies the same schedule and bid definitions inside the Chapter 7 network constraints, with exact-price optimisation followed by physical tie-breaking.</w:t>
      </w:r>
    </w:p>
    <w:p>
      <w:r>
        <w:rPr>
          <w:b w:val="0"/>
          <w:i w:val="0"/>
        </w:rPr>
        <w:t>A 50 MWh forecast illustrates the two settlements. Wind offers 30 MWh at £0/MWh and gas offers 30 MWh at £60/MWh. The ahead schedule accepts 30 MWh of wind and 20 MWh of gas, paying £3,000 at the common £60/MWh price. If actual demand is 55 MWh, gas supplies 5 MWh more and receives £300 in balancing. Gas physical expenditure is based on its final 25 MWh and equals £1,500.</w:t>
      </w:r>
    </w:p>
    <w:p>
      <w:pPr>
        <w:pStyle w:val="Heading2"/>
      </w:pPr>
      <w:r>
        <w:rPr>
          <w:b w:val="0"/>
          <w:i w:val="0"/>
        </w:rPr>
        <w:t>Storage inventory and bidding</w:t>
      </w:r>
    </w:p>
    <w:p>
      <w:pPr>
        <w:keepNext/>
      </w:pPr>
      <w:r>
        <w:rPr>
          <w:b w:val="0"/>
          <w:i w:val="0"/>
        </w:rPr>
        <w:t xml:space="preserve">Storage inventory follows final net injection in each period. In </w:t>
      </w:r>
      <w:r>
        <w:rPr>
          <w:rFonts w:ascii="DejaVu Sans Mono" w:hAnsi="DejaVu Sans Mono"/>
          <w:b w:val="0"/>
          <w:i w:val="0"/>
          <w:sz w:val="17"/>
        </w:rPr>
        <w:t>CopperplateBalancing.clear</w:t>
      </w:r>
      <w:r>
        <w:rPr>
          <w:b w:val="0"/>
          <w:i w:val="0"/>
        </w:rPr>
        <w:t xml:space="preserve">, </w:t>
      </w:r>
      <w:r>
        <w:rPr>
          <w:rFonts w:ascii="DejaVu Sans Mono" w:hAnsi="DejaVu Sans Mono"/>
          <w:b w:val="0"/>
          <w:i w:val="0"/>
          <w:sz w:val="17"/>
        </w:rPr>
        <w:t>opening</w:t>
      </w:r>
      <w:r>
        <w:rPr>
          <w:b w:val="0"/>
          <w:i w:val="0"/>
        </w:rPr>
        <w:t xml:space="preserve"> is initial stored-side MWh and </w:t>
      </w:r>
      <w:r>
        <w:rPr>
          <w:rFonts w:ascii="DejaVu Sans Mono" w:hAnsi="DejaVu Sans Mono"/>
          <w:b w:val="0"/>
          <w:i w:val="0"/>
          <w:sz w:val="17"/>
        </w:rPr>
        <w:t>dispatch</w:t>
      </w:r>
      <w:r>
        <w:rPr>
          <w:b w:val="0"/>
          <w:i w:val="0"/>
        </w:rPr>
        <w:t xml:space="preserve"> is final MWh delivered to the grid; a negative value denotes charging. The updated </w:t>
      </w:r>
      <w:r>
        <w:rPr>
          <w:rFonts w:ascii="DejaVu Sans Mono" w:hAnsi="DejaVu Sans Mono"/>
          <w:b w:val="0"/>
          <w:i w:val="0"/>
          <w:sz w:val="17"/>
        </w:rPr>
        <w:t>soc</w:t>
      </w:r>
      <w:r>
        <w:rPr>
          <w:b w:val="0"/>
          <w:i w:val="0"/>
        </w:rPr>
        <w:t xml:space="preserve"> is:</w:t>
      </w:r>
    </w:p>
    <w:p>
      <w:pPr>
        <w:spacing w:after="160"/>
        <w:jc w:val="center"/>
      </w:pPr>
      <w:r>
        <w:drawing>
          <wp:inline xmlns:a="http://schemas.openxmlformats.org/drawingml/2006/main" xmlns:pic="http://schemas.openxmlformats.org/drawingml/2006/picture">
            <wp:extent cx="5403951" cy="413754"/>
            <wp:docPr id="33" name="Picture 33"/>
            <wp:cNvGraphicFramePr>
              <a:graphicFrameLocks noChangeAspect="1"/>
            </wp:cNvGraphicFramePr>
            <a:graphic>
              <a:graphicData uri="http://schemas.openxmlformats.org/drawingml/2006/picture">
                <pic:pic>
                  <pic:nvPicPr>
                    <pic:cNvPr id="0" name="eq-033.png"/>
                    <pic:cNvPicPr/>
                  </pic:nvPicPr>
                  <pic:blipFill>
                    <a:blip r:embed="rId43"/>
                    <a:stretch>
                      <a:fillRect/>
                    </a:stretch>
                  </pic:blipFill>
                  <pic:spPr>
                    <a:xfrm>
                      <a:off x="0" y="0"/>
                      <a:ext cx="5403951" cy="413754"/>
                    </a:xfrm>
                    <a:prstGeom prst="rect"/>
                  </pic:spPr>
                </pic:pic>
              </a:graphicData>
            </a:graphic>
          </wp:inline>
        </w:drawing>
      </w:r>
    </w:p>
    <w:p>
      <w:r>
        <w:rPr>
          <w:b w:val="0"/>
          <w:i w:val="0"/>
        </w:rPr>
        <w:t xml:space="preserve">Inventory remains between zero and </w:t>
      </w:r>
      <w:r>
        <w:rPr>
          <w:rFonts w:ascii="DejaVu Sans Mono" w:hAnsi="DejaVu Sans Mono"/>
          <w:b w:val="0"/>
          <w:i w:val="0"/>
          <w:sz w:val="17"/>
        </w:rPr>
        <w:t>energy_capacity_mwh</w:t>
      </w:r>
      <w:r>
        <w:rPr>
          <w:b w:val="0"/>
          <w:i w:val="0"/>
        </w:rPr>
        <w:t xml:space="preserve">, with a 10⁻⁸ MWh rounding tolerance. Charging and discharging respect </w:t>
      </w:r>
      <w:r>
        <w:rPr>
          <w:rFonts w:ascii="DejaVu Sans Mono" w:hAnsi="DejaVu Sans Mono"/>
          <w:b w:val="0"/>
          <w:i w:val="0"/>
          <w:sz w:val="17"/>
        </w:rPr>
        <w:t>charge_​power_​mw×period_​hours</w:t>
      </w:r>
      <w:r>
        <w:rPr>
          <w:b w:val="0"/>
          <w:i w:val="0"/>
        </w:rPr>
        <w:t xml:space="preserve"> and </w:t>
      </w:r>
      <w:r>
        <w:rPr>
          <w:rFonts w:ascii="DejaVu Sans Mono" w:hAnsi="DejaVu Sans Mono"/>
          <w:b w:val="0"/>
          <w:i w:val="0"/>
          <w:sz w:val="17"/>
        </w:rPr>
        <w:t>discharge_​power_​mw×period_​hours</w:t>
      </w:r>
      <w:r>
        <w:rPr>
          <w:b w:val="0"/>
          <w:i w:val="0"/>
        </w:rPr>
        <w:t xml:space="preserve">. Zonal dispatch represents these directions separately and requires at most one to exceed 10⁻⁸ MWh. The closing inventory becomes the next period's </w:t>
      </w:r>
      <w:r>
        <w:rPr>
          <w:rFonts w:ascii="DejaVu Sans Mono" w:hAnsi="DejaVu Sans Mono"/>
          <w:b w:val="0"/>
          <w:i w:val="0"/>
          <w:sz w:val="17"/>
        </w:rPr>
        <w:t>opening</w:t>
      </w:r>
      <w:r>
        <w:rPr>
          <w:b w:val="0"/>
          <w:i w:val="0"/>
        </w:rPr>
        <w:t>; the annual opening conditions are specified above.</w:t>
      </w:r>
    </w:p>
    <w:p>
      <w:pPr>
        <w:keepNext/>
      </w:pPr>
      <w:r>
        <w:rPr>
          <w:rFonts w:ascii="DejaVu Sans Mono" w:hAnsi="DejaVu Sans Mono"/>
          <w:b w:val="0"/>
          <w:i w:val="0"/>
          <w:sz w:val="17"/>
        </w:rPr>
        <w:t>DynamicAnnualStorageCost</w:t>
      </w:r>
      <w:r>
        <w:rPr>
          <w:b w:val="0"/>
          <w:i w:val="0"/>
        </w:rPr>
        <w:t xml:space="preserve"> divides equipment-cost recovery into cycle depreciation and holding recovery. </w:t>
      </w:r>
      <w:r>
        <w:rPr>
          <w:rFonts w:ascii="DejaVu Sans Mono" w:hAnsi="DejaVu Sans Mono"/>
          <w:b w:val="0"/>
          <w:i w:val="0"/>
          <w:sz w:val="17"/>
        </w:rPr>
        <w:t>capital_recovery_factor</w:t>
      </w:r>
      <w:r>
        <w:rPr>
          <w:b w:val="0"/>
          <w:i w:val="0"/>
        </w:rPr>
        <w:t xml:space="preserve"> uses </w:t>
      </w:r>
      <w:r>
        <w:rPr>
          <w:rFonts w:ascii="DejaVu Sans Mono" w:hAnsi="DejaVu Sans Mono"/>
          <w:b w:val="0"/>
          <w:i w:val="0"/>
          <w:sz w:val="17"/>
        </w:rPr>
        <w:t>discount_rate</w:t>
      </w:r>
      <w:r>
        <w:rPr>
          <w:b w:val="0"/>
          <w:i w:val="0"/>
        </w:rPr>
        <w:t xml:space="preserve"> and </w:t>
      </w:r>
      <w:r>
        <w:rPr>
          <w:rFonts w:ascii="DejaVu Sans Mono" w:hAnsi="DejaVu Sans Mono"/>
          <w:b w:val="0"/>
          <w:i w:val="0"/>
          <w:sz w:val="17"/>
        </w:rPr>
        <w:t>lifetime_years</w:t>
      </w:r>
      <w:r>
        <w:rPr>
          <w:b w:val="0"/>
          <w:i w:val="0"/>
        </w:rPr>
        <w:t>; at a nonpositive discount rate it returns the inverse lifetime, otherwise it uses:</w:t>
      </w:r>
    </w:p>
    <w:p>
      <w:pPr>
        <w:spacing w:after="160"/>
        <w:jc w:val="center"/>
      </w:pPr>
      <w:r>
        <w:drawing>
          <wp:inline xmlns:a="http://schemas.openxmlformats.org/drawingml/2006/main" xmlns:pic="http://schemas.openxmlformats.org/drawingml/2006/picture">
            <wp:extent cx="4877562" cy="623981"/>
            <wp:docPr id="34" name="Picture 34"/>
            <wp:cNvGraphicFramePr>
              <a:graphicFrameLocks noChangeAspect="1"/>
            </wp:cNvGraphicFramePr>
            <a:graphic>
              <a:graphicData uri="http://schemas.openxmlformats.org/drawingml/2006/picture">
                <pic:pic>
                  <pic:nvPicPr>
                    <pic:cNvPr id="0" name="eq-034.png"/>
                    <pic:cNvPicPr/>
                  </pic:nvPicPr>
                  <pic:blipFill>
                    <a:blip r:embed="rId44"/>
                    <a:stretch>
                      <a:fillRect/>
                    </a:stretch>
                  </pic:blipFill>
                  <pic:spPr>
                    <a:xfrm>
                      <a:off x="0" y="0"/>
                      <a:ext cx="4877562" cy="623981"/>
                    </a:xfrm>
                    <a:prstGeom prst="rect"/>
                  </pic:spPr>
                </pic:pic>
              </a:graphicData>
            </a:graphic>
          </wp:inline>
        </w:drawing>
      </w:r>
    </w:p>
    <w:p>
      <w:r>
        <w:rPr>
          <w:b w:val="0"/>
          <w:i w:val="0"/>
        </w:rPr>
        <w:t xml:space="preserve">Annual cost is annualised asset CAPEX plus fixed maintenance. </w:t>
      </w:r>
      <w:r>
        <w:rPr>
          <w:rFonts w:ascii="DejaVu Sans Mono" w:hAnsi="DejaVu Sans Mono"/>
          <w:b w:val="0"/>
          <w:i w:val="0"/>
          <w:sz w:val="17"/>
        </w:rPr>
        <w:t>prepare_year</w:t>
      </w:r>
      <w:r>
        <w:rPr>
          <w:b w:val="0"/>
          <w:i w:val="0"/>
        </w:rPr>
        <w:t xml:space="preserve"> takes actual asset </w:t>
      </w:r>
      <w:r>
        <w:rPr>
          <w:rFonts w:ascii="DejaVu Sans Mono" w:hAnsi="DejaVu Sans Mono"/>
          <w:b w:val="0"/>
          <w:i w:val="0"/>
          <w:sz w:val="17"/>
        </w:rPr>
        <w:t>capital_cost_gbp</w:t>
      </w:r>
      <w:r>
        <w:rPr>
          <w:b w:val="0"/>
          <w:i w:val="0"/>
        </w:rPr>
        <w:t xml:space="preserve">, </w:t>
      </w:r>
      <w:r>
        <w:rPr>
          <w:rFonts w:ascii="DejaVu Sans Mono" w:hAnsi="DejaVu Sans Mono"/>
          <w:b w:val="0"/>
          <w:i w:val="0"/>
          <w:sz w:val="17"/>
        </w:rPr>
        <w:t>power_capacity_mw</w:t>
      </w:r>
      <w:r>
        <w:rPr>
          <w:b w:val="0"/>
          <w:i w:val="0"/>
        </w:rPr>
        <w:t xml:space="preserve">, </w:t>
      </w:r>
      <w:r>
        <w:rPr>
          <w:rFonts w:ascii="DejaVu Sans Mono" w:hAnsi="DejaVu Sans Mono"/>
          <w:b w:val="0"/>
          <w:i w:val="0"/>
          <w:sz w:val="17"/>
        </w:rPr>
        <w:t>energy_capacity_mwh</w:t>
      </w:r>
      <w:r>
        <w:rPr>
          <w:b w:val="0"/>
          <w:i w:val="0"/>
        </w:rPr>
        <w:t xml:space="preserve"> and </w:t>
      </w:r>
      <w:r>
        <w:rPr>
          <w:rFonts w:ascii="DejaVu Sans Mono" w:hAnsi="DejaVu Sans Mono"/>
          <w:b w:val="0"/>
          <w:i w:val="0"/>
          <w:sz w:val="17"/>
        </w:rPr>
        <w:t>discharge_efficiency</w:t>
      </w:r>
      <w:r>
        <w:rPr>
          <w:b w:val="0"/>
          <w:i w:val="0"/>
        </w:rPr>
        <w:t xml:space="preserve">. Catalogue lifetime, duration, cycle life and fixed-maintenance rate come from </w:t>
      </w:r>
      <w:r>
        <w:rPr>
          <w:rFonts w:ascii="DejaVu Sans Mono" w:hAnsi="DejaVu Sans Mono"/>
          <w:b w:val="0"/>
          <w:i w:val="0"/>
          <w:sz w:val="17"/>
        </w:rPr>
        <w:t>spec</w:t>
      </w:r>
      <w:r>
        <w:rPr>
          <w:b w:val="0"/>
          <w:i w:val="0"/>
        </w:rPr>
        <w:t>. The calculation keeps the asset’s declared energy-to-power ratio.</w:t>
      </w:r>
    </w:p>
    <w:p>
      <w:pPr>
        <w:keepLines/>
        <w:spacing w:line="276" w:lineRule="auto" w:after="160"/>
      </w:pPr>
      <w:r>
        <w:rPr>
          <w:rFonts w:ascii="DejaVu Sans Mono" w:hAnsi="DejaVu Sans Mono"/>
          <w:b w:val="0"/>
          <w:i w:val="0"/>
          <w:sz w:val="17"/>
        </w:rPr>
        <w:t>capex = max(capital_cost_gbp, 0)</w:t>
        <w:br/>
        <w:t>annualized_​capital_​cost_​gbp = capex * capital_​recovery_​factor(</w:t>
        <w:br/>
        <w:t xml:space="preserve">    discount_rate, spec.economic_​lifetime_​years)</w:t>
        <w:br/>
        <w:t>annual_fixed_opex_gbp = (</w:t>
        <w:br/>
        <w:t xml:space="preserve">    max(power_capacity_mw, 0) * 1000 * spec.fixed_​opex_​gbp_​per_​kw_​year)</w:t>
        <w:br/>
        <w:t>annual_​levelized_​project_​cost_​gbp = (</w:t>
        <w:br/>
        <w:t xml:space="preserve">    annualized_​capital_​cost_​gbp + annual_fixed_opex_gbp)</w:t>
        <w:br/>
      </w:r>
    </w:p>
    <w:p>
      <w:r>
        <w:rPr>
          <w:b w:val="0"/>
          <w:i w:val="0"/>
        </w:rPr>
        <w:t xml:space="preserve">Reference annual sales use the smaller of lifetime cycles per year and physically possible charge-discharge cycles. </w:t>
      </w:r>
      <w:r>
        <w:rPr>
          <w:rFonts w:ascii="DejaVu Sans Mono" w:hAnsi="DejaVu Sans Mono"/>
          <w:b w:val="0"/>
          <w:i w:val="0"/>
          <w:sz w:val="17"/>
        </w:rPr>
        <w:t>_reference_observation</w:t>
      </w:r>
      <w:r>
        <w:rPr>
          <w:b w:val="0"/>
          <w:i w:val="0"/>
        </w:rPr>
        <w:t xml:space="preserve"> calculates </w:t>
      </w:r>
      <w:r>
        <w:rPr>
          <w:rFonts w:ascii="DejaVu Sans Mono" w:hAnsi="DejaVu Sans Mono"/>
          <w:b w:val="0"/>
          <w:i w:val="0"/>
          <w:sz w:val="17"/>
        </w:rPr>
        <w:t>life_cycles_per_year</w:t>
      </w:r>
      <w:r>
        <w:rPr>
          <w:b w:val="0"/>
          <w:i w:val="0"/>
        </w:rPr>
        <w:t xml:space="preserve"> from cycle life, </w:t>
      </w:r>
      <w:r>
        <w:rPr>
          <w:rFonts w:ascii="DejaVu Sans Mono" w:hAnsi="DejaVu Sans Mono"/>
          <w:b w:val="0"/>
          <w:i w:val="0"/>
          <w:sz w:val="17"/>
        </w:rPr>
        <w:t>physical_​cycles_​per_​year</w:t>
      </w:r>
      <w:r>
        <w:rPr>
          <w:b w:val="0"/>
          <w:i w:val="0"/>
        </w:rPr>
        <w:t xml:space="preserve"> from charge-discharge duration, and their minimum </w:t>
      </w:r>
      <w:r>
        <w:rPr>
          <w:rFonts w:ascii="DejaVu Sans Mono" w:hAnsi="DejaVu Sans Mono"/>
          <w:b w:val="0"/>
          <w:i w:val="0"/>
          <w:sz w:val="17"/>
        </w:rPr>
        <w:t>cycles_per_year</w:t>
      </w:r>
      <w:r>
        <w:rPr>
          <w:b w:val="0"/>
          <w:i w:val="0"/>
        </w:rPr>
        <w:t xml:space="preserve">. It then obtains annual delivered sales </w:t>
      </w:r>
      <w:r>
        <w:rPr>
          <w:rFonts w:ascii="DejaVu Sans Mono" w:hAnsi="DejaVu Sans Mono"/>
          <w:b w:val="0"/>
          <w:i w:val="0"/>
          <w:sz w:val="17"/>
        </w:rPr>
        <w:t>sold</w:t>
      </w:r>
      <w:r>
        <w:rPr>
          <w:b w:val="0"/>
          <w:i w:val="0"/>
        </w:rPr>
        <w:t xml:space="preserve"> in MWh and holding time </w:t>
      </w:r>
      <w:r>
        <w:rPr>
          <w:rFonts w:ascii="DejaVu Sans Mono" w:hAnsi="DejaVu Sans Mono"/>
          <w:b w:val="0"/>
          <w:i w:val="0"/>
          <w:sz w:val="17"/>
        </w:rPr>
        <w:t>dwell_periods</w:t>
      </w:r>
      <w:r>
        <w:rPr>
          <w:b w:val="0"/>
          <w:i w:val="0"/>
        </w:rPr>
        <w:t xml:space="preserve"> in model periods:</w:t>
      </w:r>
    </w:p>
    <w:p>
      <w:pPr>
        <w:keepLines/>
        <w:spacing w:line="276" w:lineRule="auto" w:after="160"/>
      </w:pPr>
      <w:r>
        <w:rPr>
          <w:rFonts w:ascii="DejaVu Sans Mono" w:hAnsi="DejaVu Sans Mono"/>
          <w:b w:val="0"/>
          <w:i w:val="0"/>
          <w:sz w:val="17"/>
        </w:rPr>
        <w:t>life_cycles_per_year = spec.maximum_cycles / spec.economic_​lifetime_​years</w:t>
        <w:br/>
        <w:t>physical_​cycles_​per_​year = 8760 / max(2 * spec.duration_hours, 1e-9)</w:t>
        <w:br/>
        <w:t>cycles_per_year = min(life_​cycles_​per_​year, physical_​cycles_​per_​year)</w:t>
        <w:br/>
        <w:t>sold = (max(energy_​capacity_​mwh, 0) * max(discharge_​efficiency, 0)</w:t>
        <w:br/>
        <w:t xml:space="preserve">        * cycles_per_year)</w:t>
        <w:br/>
        <w:t>dwell_periods = max(spec.duration_hours / period_hours, 2)</w:t>
        <w:br/>
      </w:r>
    </w:p>
    <w:p>
      <w:r>
        <w:rPr>
          <w:b w:val="0"/>
          <w:i w:val="0"/>
        </w:rPr>
        <w:t xml:space="preserve">The pricing basis uses previous-year sales when positive, subject to a floor tied to reference sales. </w:t>
      </w:r>
      <w:r>
        <w:rPr>
          <w:rFonts w:ascii="DejaVu Sans Mono" w:hAnsi="DejaVu Sans Mono"/>
          <w:b w:val="0"/>
          <w:i w:val="0"/>
          <w:sz w:val="17"/>
        </w:rPr>
        <w:t>reference</w:t>
      </w:r>
      <w:r>
        <w:rPr>
          <w:b w:val="0"/>
          <w:i w:val="0"/>
        </w:rPr>
        <w:t xml:space="preserve"> is the observation returned by </w:t>
      </w:r>
      <w:r>
        <w:rPr>
          <w:rFonts w:ascii="DejaVu Sans Mono" w:hAnsi="DejaVu Sans Mono"/>
          <w:b w:val="0"/>
          <w:i w:val="0"/>
          <w:sz w:val="17"/>
        </w:rPr>
        <w:t>_reference_observation</w:t>
      </w:r>
      <w:r>
        <w:rPr>
          <w:b w:val="0"/>
          <w:i w:val="0"/>
        </w:rPr>
        <w:t xml:space="preserve">; it stores </w:t>
      </w:r>
      <w:r>
        <w:rPr>
          <w:rFonts w:ascii="DejaVu Sans Mono" w:hAnsi="DejaVu Sans Mono"/>
          <w:b w:val="0"/>
          <w:i w:val="0"/>
          <w:sz w:val="17"/>
        </w:rPr>
        <w:t>sold</w:t>
      </w:r>
      <w:r>
        <w:rPr>
          <w:b w:val="0"/>
          <w:i w:val="0"/>
        </w:rPr>
        <w:t xml:space="preserve"> in </w:t>
      </w:r>
      <w:r>
        <w:rPr>
          <w:rFonts w:ascii="DejaVu Sans Mono" w:hAnsi="DejaVu Sans Mono"/>
          <w:b w:val="0"/>
          <w:i w:val="0"/>
          <w:sz w:val="17"/>
        </w:rPr>
        <w:t>sold_energy_mwh</w:t>
      </w:r>
      <w:r>
        <w:rPr>
          <w:b w:val="0"/>
          <w:i w:val="0"/>
        </w:rPr>
        <w:t xml:space="preserve"> and its reference holding time in </w:t>
      </w:r>
      <w:r>
        <w:rPr>
          <w:rFonts w:ascii="DejaVu Sans Mono" w:hAnsi="DejaVu Sans Mono"/>
          <w:b w:val="0"/>
          <w:i w:val="0"/>
          <w:sz w:val="17"/>
        </w:rPr>
        <w:t>average_dwell_periods</w:t>
      </w:r>
      <w:r>
        <w:rPr>
          <w:b w:val="0"/>
          <w:i w:val="0"/>
        </w:rPr>
        <w:t xml:space="preserve">. </w:t>
      </w:r>
      <w:r>
        <w:rPr>
          <w:rFonts w:ascii="DejaVu Sans Mono" w:hAnsi="DejaVu Sans Mono"/>
          <w:b w:val="0"/>
          <w:i w:val="0"/>
          <w:sz w:val="17"/>
        </w:rPr>
        <w:t>previous</w:t>
      </w:r>
      <w:r>
        <w:rPr>
          <w:b w:val="0"/>
          <w:i w:val="0"/>
        </w:rPr>
        <w:t xml:space="preserve"> holds the preceding year’s observation. The selected </w:t>
      </w:r>
      <w:r>
        <w:rPr>
          <w:rFonts w:ascii="DejaVu Sans Mono" w:hAnsi="DejaVu Sans Mono"/>
          <w:b w:val="0"/>
          <w:i w:val="0"/>
          <w:sz w:val="17"/>
        </w:rPr>
        <w:t>basis_sold</w:t>
      </w:r>
      <w:r>
        <w:rPr>
          <w:b w:val="0"/>
          <w:i w:val="0"/>
        </w:rPr>
        <w:t xml:space="preserve"> is MWh and </w:t>
      </w:r>
      <w:r>
        <w:rPr>
          <w:rFonts w:ascii="DejaVu Sans Mono" w:hAnsi="DejaVu Sans Mono"/>
          <w:b w:val="0"/>
          <w:i w:val="0"/>
          <w:sz w:val="17"/>
        </w:rPr>
        <w:t>average_dwell</w:t>
      </w:r>
      <w:r>
        <w:rPr>
          <w:b w:val="0"/>
          <w:i w:val="0"/>
        </w:rPr>
        <w:t xml:space="preserve"> is the delivered-MWh-weighted number of holding periods:</w:t>
      </w:r>
    </w:p>
    <w:p>
      <w:pPr>
        <w:keepLines/>
        <w:spacing w:line="276" w:lineRule="auto" w:after="160"/>
      </w:pPr>
      <w:r>
        <w:rPr>
          <w:rFonts w:ascii="DejaVu Sans Mono" w:hAnsi="DejaVu Sans Mono"/>
          <w:b w:val="0"/>
          <w:i w:val="0"/>
          <w:sz w:val="17"/>
        </w:rPr>
        <w:t>observed = previous</w:t>
        <w:br/>
        <w:t>minimum_sold = reference.sold_​energy_​mwh * max(utilisation_floor, 0)</w:t>
        <w:br/>
        <w:t>if observed.sold_​energy_​mwh &gt; 0:</w:t>
        <w:br/>
        <w:t xml:space="preserve">    basis_sold = max(observed.sold_​energy_​mwh, minimum_sold)</w:t>
        <w:br/>
        <w:t xml:space="preserve">    average_dwell = max(observed.average_​dwell_​periods, 2)</w:t>
        <w:br/>
        <w:t>else:</w:t>
        <w:br/>
        <w:t xml:space="preserve">    basis_sold = reference.sold_​energy_​mwh</w:t>
        <w:br/>
        <w:t xml:space="preserve">    average_dwell = reference.average_​dwell_​periods</w:t>
        <w:br/>
      </w:r>
    </w:p>
    <w:p>
      <w:r>
        <w:rPr>
          <w:b w:val="0"/>
          <w:i w:val="0"/>
        </w:rPr>
        <w:t xml:space="preserve">Defaults are </w:t>
      </w:r>
      <w:r>
        <w:rPr>
          <w:rFonts w:ascii="DejaVu Sans Mono" w:hAnsi="DejaVu Sans Mono"/>
          <w:b w:val="0"/>
          <w:i w:val="0"/>
          <w:sz w:val="17"/>
        </w:rPr>
        <w:t>utilisation_floor=0</w:t>
      </w:r>
      <w:r>
        <w:rPr>
          <w:b w:val="0"/>
          <w:i w:val="0"/>
        </w:rPr>
        <w:t xml:space="preserve"> and </w:t>
      </w:r>
      <w:r>
        <w:rPr>
          <w:rFonts w:ascii="DejaVu Sans Mono" w:hAnsi="DejaVu Sans Mono"/>
          <w:b w:val="0"/>
          <w:i w:val="0"/>
          <w:sz w:val="17"/>
        </w:rPr>
        <w:t>discount_rate=0.05</w:t>
      </w:r>
      <w:r>
        <w:rPr>
          <w:b w:val="0"/>
          <w:i w:val="0"/>
        </w:rPr>
        <w:t>. Batteries recover cycle depreciation from delivered MWh; pumped hydro and hydrogen have a zero cycle-depreciation component.</w:t>
      </w:r>
    </w:p>
    <w:p>
      <w:pPr>
        <w:keepLines/>
        <w:spacing w:line="276" w:lineRule="auto" w:after="160"/>
      </w:pPr>
      <w:r>
        <w:rPr>
          <w:rFonts w:ascii="DejaVu Sans Mono" w:hAnsi="DejaVu Sans Mono"/>
          <w:b w:val="0"/>
          <w:i w:val="0"/>
          <w:sz w:val="17"/>
        </w:rPr>
        <w:t>usable_cycle_output = energy_capacity_mwh * discharge_efficiency</w:t>
        <w:br/>
        <w:t>cycle_​depreciation_​gbp_​per_​mwh = (</w:t>
        <w:br/>
        <w:t xml:space="preserve">    capex / (usable_cycle_output * spec.maximum_cycles))</w:t>
        <w:br/>
        <w:t>expected_cycle_recovery = cycle_​depreciation_​gbp_​per_​mwh * basis_sold</w:t>
        <w:br/>
        <w:t>remaining_​annual_​recovery = max(</w:t>
        <w:br/>
        <w:t xml:space="preserve">    annual_​levelized_​project_​cost_​gbp - expected_​cycle_​recovery, 0)</w:t>
        <w:br/>
        <w:t>weighted_basis = basis_sold * max(average_dwell, 1)</w:t>
        <w:br/>
        <w:t>holding_​recovery_​gbp_​per_​mwh_​period = (</w:t>
        <w:br/>
        <w:t xml:space="preserve">    remaining_​annual_​recovery / weighted_basis)</w:t>
        <w:br/>
      </w:r>
    </w:p>
    <w:p>
      <w:r>
        <w:rPr>
          <w:b w:val="0"/>
          <w:i w:val="0"/>
        </w:rPr>
        <w:t xml:space="preserve">The cycle term is zero when </w:t>
      </w:r>
      <w:r>
        <w:rPr>
          <w:rFonts w:ascii="DejaVu Sans Mono" w:hAnsi="DejaVu Sans Mono"/>
          <w:b w:val="0"/>
          <w:i w:val="0"/>
          <w:sz w:val="17"/>
        </w:rPr>
        <w:t>has_cycle_depreciation</w:t>
      </w:r>
      <w:r>
        <w:rPr>
          <w:b w:val="0"/>
          <w:i w:val="0"/>
        </w:rPr>
        <w:t xml:space="preserve"> is false or either denominator factor is zero. The holding-recovery term is zero when </w:t>
      </w:r>
      <w:r>
        <w:rPr>
          <w:rFonts w:ascii="DejaVu Sans Mono" w:hAnsi="DejaVu Sans Mono"/>
          <w:b w:val="0"/>
          <w:i w:val="0"/>
          <w:sz w:val="17"/>
        </w:rPr>
        <w:t>weighted_basis=0</w:t>
      </w:r>
      <w:r>
        <w:rPr>
          <w:b w:val="0"/>
          <w:i w:val="0"/>
        </w:rPr>
        <w:t xml:space="preserve">. Under Native's </w:t>
      </w:r>
      <w:r>
        <w:rPr>
          <w:rFonts w:ascii="DejaVu Sans Mono" w:hAnsi="DejaVu Sans Mono"/>
          <w:b w:val="0"/>
          <w:i w:val="0"/>
          <w:sz w:val="17"/>
        </w:rPr>
        <w:t>cycle_only</w:t>
      </w:r>
      <w:r>
        <w:rPr>
          <w:b w:val="0"/>
          <w:i w:val="0"/>
        </w:rPr>
        <w:t xml:space="preserve"> bid setting, </w:t>
      </w:r>
      <w:r>
        <w:rPr>
          <w:rFonts w:ascii="DejaVu Sans Mono" w:hAnsi="DejaVu Sans Mono"/>
          <w:b w:val="0"/>
          <w:i w:val="0"/>
          <w:sz w:val="17"/>
        </w:rPr>
        <w:t>bid_price_gbp_per_mwh</w:t>
      </w:r>
      <w:r>
        <w:rPr>
          <w:b w:val="0"/>
          <w:i w:val="0"/>
        </w:rPr>
        <w:t xml:space="preserve"> returns </w:t>
      </w:r>
      <w:r>
        <w:rPr>
          <w:rFonts w:ascii="DejaVu Sans Mono" w:hAnsi="DejaVu Sans Mono"/>
          <w:b w:val="0"/>
          <w:i w:val="0"/>
          <w:sz w:val="17"/>
        </w:rPr>
        <w:t>cycle_​depreciation_​gbp_​per_​mwh</w:t>
      </w:r>
      <w:r>
        <w:rPr>
          <w:b w:val="0"/>
          <w:i w:val="0"/>
        </w:rPr>
        <w:t>: the three battery types bid their cycle wear, while pumped hydro and hydrogen bid zero. Equal-priced storage batches are released in charging order, oldest first.</w:t>
      </w:r>
    </w:p>
    <w:p>
      <w:r>
        <w:rPr>
          <w:b w:val="0"/>
          <w:i w:val="0"/>
        </w:rPr>
        <w:t xml:space="preserve">The storage-cost calculation also reports recovery per holding period. The linear holding-price calculation is </w:t>
      </w:r>
      <w:r>
        <w:rPr>
          <w:rFonts w:ascii="DejaVu Sans Mono" w:hAnsi="DejaVu Sans Mono"/>
          <w:b w:val="0"/>
          <w:i w:val="0"/>
          <w:sz w:val="17"/>
        </w:rPr>
        <w:t>cycle_​depreciation_​gbp_​per_​mwh + max(dwell_​periods,0)×holding_​recovery_​gbp_​per_​mwh_​period</w:t>
      </w:r>
      <w:r>
        <w:rPr>
          <w:b w:val="0"/>
          <w:i w:val="0"/>
        </w:rPr>
        <w:t xml:space="preserve">. Staged dispatch passes </w:t>
      </w:r>
      <w:r>
        <w:rPr>
          <w:rFonts w:ascii="DejaVu Sans Mono" w:hAnsi="DejaVu Sans Mono"/>
          <w:b w:val="0"/>
          <w:i w:val="0"/>
          <w:sz w:val="17"/>
        </w:rPr>
        <w:t>dwell_periods=0</w:t>
      </w:r>
      <w:r>
        <w:rPr>
          <w:b w:val="0"/>
          <w:i w:val="0"/>
        </w:rPr>
        <w:t>, so its holding-price contribution is zero. The catalogue provides the life, cycle and maintenance parameters listed in Chapter 2; fixed maintenance is 13.4 GBP/kW/year for pumped hydro, 6.6 for the three battery types and 19.7 for hydrogen.</w:t>
      </w:r>
    </w:p>
    <w:p>
      <w:r>
        <w:rPr>
          <w:b w:val="0"/>
          <w:i w:val="0"/>
        </w:rPr>
        <w:t xml:space="preserve">Sales update the following year's cost basis. </w:t>
      </w:r>
      <w:r>
        <w:rPr>
          <w:rFonts w:ascii="DejaVu Sans Mono" w:hAnsi="DejaVu Sans Mono"/>
          <w:b w:val="0"/>
          <w:i w:val="0"/>
          <w:sz w:val="17"/>
        </w:rPr>
        <w:t>record_sale</w:t>
      </w:r>
      <w:r>
        <w:rPr>
          <w:b w:val="0"/>
          <w:i w:val="0"/>
        </w:rPr>
        <w:t xml:space="preserve"> takes delivered MWh and the number of periods since charging, and accumulates sales and sales-weighted holding time in </w:t>
      </w:r>
      <w:r>
        <w:rPr>
          <w:rFonts w:ascii="DejaVu Sans Mono" w:hAnsi="DejaVu Sans Mono"/>
          <w:b w:val="0"/>
          <w:i w:val="0"/>
          <w:sz w:val="17"/>
        </w:rPr>
        <w:t>current</w:t>
      </w:r>
      <w:r>
        <w:rPr>
          <w:b w:val="0"/>
          <w:i w:val="0"/>
        </w:rPr>
        <w:t xml:space="preserve">. Its </w:t>
      </w:r>
      <w:r>
        <w:rPr>
          <w:rFonts w:ascii="DejaVu Sans Mono" w:hAnsi="DejaVu Sans Mono"/>
          <w:b w:val="0"/>
          <w:i w:val="0"/>
          <w:sz w:val="17"/>
        </w:rPr>
        <w:t>average_dwell_periods</w:t>
      </w:r>
      <w:r>
        <w:rPr>
          <w:b w:val="0"/>
          <w:i w:val="0"/>
        </w:rPr>
        <w:t xml:space="preserve"> is the weighted total divided by sales when sales are positive, and zero otherwise:</w:t>
      </w:r>
    </w:p>
    <w:p>
      <w:pPr>
        <w:keepLines/>
        <w:spacing w:line="276" w:lineRule="auto" w:after="160"/>
      </w:pPr>
      <w:r>
        <w:rPr>
          <w:rFonts w:ascii="DejaVu Sans Mono" w:hAnsi="DejaVu Sans Mono"/>
          <w:b w:val="0"/>
          <w:i w:val="0"/>
          <w:sz w:val="17"/>
        </w:rPr>
        <w:t>delivered = max(delivered_mwh, 0)</w:t>
        <w:br/>
        <w:t>dwell = max(dwell_periods, 0)</w:t>
        <w:br/>
        <w:t>current.sold_energy_mwh += delivered</w:t>
        <w:br/>
        <w:t>current.dwell_​weighted_​sold_​mwh_​periods += delivered * dwell</w:t>
        <w:br/>
      </w:r>
    </w:p>
    <w:p>
      <w:r>
        <w:rPr>
          <w:b w:val="0"/>
          <w:i w:val="0"/>
        </w:rPr>
        <w:t xml:space="preserve">At year-end, </w:t>
      </w:r>
      <w:r>
        <w:rPr>
          <w:rFonts w:ascii="DejaVu Sans Mono" w:hAnsi="DejaVu Sans Mono"/>
          <w:b w:val="0"/>
          <w:i w:val="0"/>
          <w:sz w:val="17"/>
        </w:rPr>
        <w:t>storage_​cost_​observations</w:t>
      </w:r>
      <w:r>
        <w:rPr>
          <w:b w:val="0"/>
          <w:i w:val="0"/>
        </w:rPr>
        <w:t xml:space="preserve"> records these quantities by storage agent. The next annual preparation takes them as </w:t>
      </w:r>
      <w:r>
        <w:rPr>
          <w:rFonts w:ascii="DejaVu Sans Mono" w:hAnsi="DejaVu Sans Mono"/>
          <w:b w:val="0"/>
          <w:i w:val="0"/>
          <w:sz w:val="17"/>
        </w:rPr>
        <w:t>previous</w:t>
      </w:r>
      <w:r>
        <w:rPr>
          <w:b w:val="0"/>
          <w:i w:val="0"/>
        </w:rPr>
        <w:t xml:space="preserve">, calculates the new recovery amounts and resets </w:t>
      </w:r>
      <w:r>
        <w:rPr>
          <w:rFonts w:ascii="DejaVu Sans Mono" w:hAnsi="DejaVu Sans Mono"/>
          <w:b w:val="0"/>
          <w:i w:val="0"/>
          <w:sz w:val="17"/>
        </w:rPr>
        <w:t>current</w:t>
      </w:r>
      <w:r>
        <w:rPr>
          <w:b w:val="0"/>
          <w:i w:val="0"/>
        </w:rPr>
        <w:t xml:space="preserve"> to zero. This observation update supplies the cost calculation while the physical inventory follows the opening conditions and dispatch updates given above.</w:t>
      </w:r>
    </w:p>
    <w:p>
      <w:pPr>
        <w:pStyle w:val="Heading1"/>
      </w:pPr>
      <w:r>
        <w:rPr>
          <w:b w:val="0"/>
          <w:i w:val="0"/>
        </w:rPr>
        <w:t>5 National market clearing</w:t>
      </w:r>
    </w:p>
    <w:p>
      <w:r>
        <w:rPr>
          <w:b w:val="0"/>
          <w:i w:val="0"/>
        </w:rPr>
        <w:t xml:space="preserve">The national market clears forecast demand and then balances actual demand at one node in each half-hour. The default module </w:t>
      </w:r>
      <w:r>
        <w:rPr>
          <w:rFonts w:ascii="DejaVu Sans Mono" w:hAnsi="DejaVu Sans Mono"/>
          <w:b w:val="0"/>
          <w:i w:val="0"/>
          <w:sz w:val="17"/>
        </w:rPr>
        <w:t>value-bid-at-cost-psm</w:t>
      </w:r>
      <w:r>
        <w:rPr>
          <w:b w:val="0"/>
          <w:i w:val="0"/>
        </w:rPr>
        <w:t xml:space="preserve"> applies </w:t>
      </w:r>
      <w:r>
        <w:rPr>
          <w:rFonts w:ascii="DejaVu Sans Mono" w:hAnsi="DejaVu Sans Mono"/>
          <w:b w:val="0"/>
          <w:i w:val="0"/>
          <w:sz w:val="17"/>
        </w:rPr>
        <w:t>native-corrected-v1</w:t>
      </w:r>
      <w:r>
        <w:rPr>
          <w:b w:val="0"/>
          <w:i w:val="0"/>
        </w:rPr>
        <w:t>: generators and imports offer available power, storage offers eligible energy batches, and the realised dispatch advances the physical state to the next period.</w:t>
      </w:r>
    </w:p>
    <w:p>
      <w:pPr>
        <w:pStyle w:val="Heading2"/>
      </w:pPr>
      <w:r>
        <w:rPr>
          <w:b w:val="0"/>
          <w:i w:val="0"/>
        </w:rPr>
        <w:t>Inputs, agents and availability</w:t>
      </w:r>
    </w:p>
    <w:p>
      <w:r>
        <w:rPr>
          <w:b w:val="0"/>
          <w:i w:val="0"/>
        </w:rPr>
        <w:t xml:space="preserve">Dispatch quantities are powers in MW, with </w:t>
      </w:r>
      <w:r>
        <w:rPr>
          <w:rFonts w:ascii="DejaVu Sans Mono" w:hAnsi="DejaVu Sans Mono"/>
          <w:b w:val="0"/>
          <w:i w:val="0"/>
          <w:sz w:val="17"/>
        </w:rPr>
        <w:t>period_hours = 0.5</w:t>
      </w:r>
      <w:r>
        <w:rPr>
          <w:b w:val="0"/>
          <w:i w:val="0"/>
        </w:rPr>
        <w:t xml:space="preserve">. The variables </w:t>
      </w:r>
      <w:r>
        <w:rPr>
          <w:rFonts w:ascii="DejaVu Sans Mono" w:hAnsi="DejaVu Sans Mono"/>
          <w:b w:val="0"/>
          <w:i w:val="0"/>
          <w:sz w:val="17"/>
        </w:rPr>
        <w:t>forecast_demand</w:t>
      </w:r>
      <w:r>
        <w:rPr>
          <w:b w:val="0"/>
          <w:i w:val="0"/>
        </w:rPr>
        <w:t xml:space="preserve">, </w:t>
      </w:r>
      <w:r>
        <w:rPr>
          <w:rFonts w:ascii="DejaVu Sans Mono" w:hAnsi="DejaVu Sans Mono"/>
          <w:b w:val="0"/>
          <w:i w:val="0"/>
          <w:sz w:val="17"/>
        </w:rPr>
        <w:t>real_demand</w:t>
      </w:r>
      <w:r>
        <w:rPr>
          <w:b w:val="0"/>
          <w:i w:val="0"/>
        </w:rPr>
        <w:t xml:space="preserve">, </w:t>
      </w:r>
      <w:r>
        <w:rPr>
          <w:rFonts w:ascii="DejaVu Sans Mono" w:hAnsi="DejaVu Sans Mono"/>
          <w:b w:val="0"/>
          <w:i w:val="0"/>
          <w:sz w:val="17"/>
        </w:rPr>
        <w:t>capacity_limit</w:t>
      </w:r>
      <w:r>
        <w:rPr>
          <w:b w:val="0"/>
          <w:i w:val="0"/>
        </w:rPr>
        <w:t xml:space="preserve">, </w:t>
      </w:r>
      <w:r>
        <w:rPr>
          <w:rFonts w:ascii="DejaVu Sans Mono" w:hAnsi="DejaVu Sans Mono"/>
          <w:b w:val="0"/>
          <w:i w:val="0"/>
          <w:sz w:val="17"/>
        </w:rPr>
        <w:t>real_gen_energy</w:t>
      </w:r>
      <w:r>
        <w:rPr>
          <w:b w:val="0"/>
          <w:i w:val="0"/>
        </w:rPr>
        <w:t xml:space="preserve"> and </w:t>
      </w:r>
      <w:r>
        <w:rPr>
          <w:rFonts w:ascii="DejaVu Sans Mono" w:hAnsi="DejaVu Sans Mono"/>
          <w:b w:val="0"/>
          <w:i w:val="0"/>
          <w:sz w:val="17"/>
        </w:rPr>
        <w:t>alter_limit</w:t>
      </w:r>
      <w:r>
        <w:rPr>
          <w:b w:val="0"/>
          <w:i w:val="0"/>
        </w:rPr>
        <w:t xml:space="preserve"> respectively describe forecast demand, actual demand, available output, realised output and the per-period ramp allowance. The generator index is </w:t>
      </w:r>
      <w:r>
        <w:drawing>
          <wp:inline xmlns:a="http://schemas.openxmlformats.org/drawingml/2006/main" xmlns:pic="http://schemas.openxmlformats.org/drawingml/2006/picture">
            <wp:extent cx="57032" cy="111870"/>
            <wp:docPr id="35" name="Picture 35"/>
            <wp:cNvGraphicFramePr>
              <a:graphicFrameLocks noChangeAspect="1"/>
            </wp:cNvGraphicFramePr>
            <a:graphic>
              <a:graphicData uri="http://schemas.openxmlformats.org/drawingml/2006/picture">
                <pic:pic>
                  <pic:nvPicPr>
                    <pic:cNvPr id="0" name="eq-035.png"/>
                    <pic:cNvPicPr/>
                  </pic:nvPicPr>
                  <pic:blipFill>
                    <a:blip r:embed="rId45"/>
                    <a:stretch>
                      <a:fillRect/>
                    </a:stretch>
                  </pic:blipFill>
                  <pic:spPr>
                    <a:xfrm>
                      <a:off x="0" y="0"/>
                      <a:ext cx="57032" cy="111870"/>
                    </a:xfrm>
                    <a:prstGeom prst="rect"/>
                  </pic:spPr>
                </pic:pic>
              </a:graphicData>
            </a:graphic>
          </wp:inline>
        </w:drawing>
      </w:r>
      <w:r>
        <w:rPr>
          <w:b w:val="0"/>
          <w:i w:val="0"/>
        </w:rPr>
        <w:t xml:space="preserve">, the time index is </w:t>
      </w:r>
      <w:r>
        <w:drawing>
          <wp:inline xmlns:a="http://schemas.openxmlformats.org/drawingml/2006/main" xmlns:pic="http://schemas.openxmlformats.org/drawingml/2006/picture">
            <wp:extent cx="59661" cy="106064"/>
            <wp:docPr id="36" name="Picture 36"/>
            <wp:cNvGraphicFramePr>
              <a:graphicFrameLocks noChangeAspect="1"/>
            </wp:cNvGraphicFramePr>
            <a:graphic>
              <a:graphicData uri="http://schemas.openxmlformats.org/drawingml/2006/picture">
                <pic:pic>
                  <pic:nvPicPr>
                    <pic:cNvPr id="0" name="eq-036.png"/>
                    <pic:cNvPicPr/>
                  </pic:nvPicPr>
                  <pic:blipFill>
                    <a:blip r:embed="rId46"/>
                    <a:stretch>
                      <a:fillRect/>
                    </a:stretch>
                  </pic:blipFill>
                  <pic:spPr>
                    <a:xfrm>
                      <a:off x="0" y="0"/>
                      <a:ext cx="59661" cy="106064"/>
                    </a:xfrm>
                    <a:prstGeom prst="rect"/>
                  </pic:spPr>
                </pic:pic>
              </a:graphicData>
            </a:graphic>
          </wp:inline>
        </w:drawing>
      </w:r>
      <w:r>
        <w:rPr>
          <w:b w:val="0"/>
          <w:i w:val="0"/>
        </w:rPr>
        <w:t xml:space="preserve">, and other asset indices are defined with each calculation. The UTC model year has 17,520 periods. The native kernel reads demand in MW and multiplies accepted power by </w:t>
      </w:r>
      <w:r>
        <w:rPr>
          <w:rFonts w:ascii="DejaVu Sans Mono" w:hAnsi="DejaVu Sans Mono"/>
          <w:b w:val="0"/>
          <w:i w:val="0"/>
          <w:sz w:val="17"/>
        </w:rPr>
        <w:t>period_hours</w:t>
      </w:r>
      <w:r>
        <w:rPr>
          <w:b w:val="0"/>
          <w:i w:val="0"/>
        </w:rPr>
        <w:t xml:space="preserve"> for MWh output and settlement. The </w:t>
      </w:r>
      <w:r>
        <w:rPr>
          <w:rFonts w:ascii="DejaVu Sans Mono" w:hAnsi="DejaVu Sans Mono"/>
          <w:b w:val="0"/>
          <w:i w:val="0"/>
          <w:sz w:val="17"/>
        </w:rPr>
        <w:t>canonical_psm_data.py</w:t>
      </w:r>
      <w:r>
        <w:rPr>
          <w:b w:val="0"/>
          <w:i w:val="0"/>
        </w:rPr>
        <w:t xml:space="preserve"> chronology supplies period MWh to staged and optimisation modules, following Chapter 2.</w:t>
      </w:r>
    </w:p>
    <w:p>
      <w:pPr>
        <w:keepNext/>
      </w:pPr>
      <w:r>
        <w:rPr>
          <w:b w:val="0"/>
          <w:i w:val="0"/>
        </w:rPr>
        <w:t xml:space="preserve">Generator bids combine operating cost with a start-up adder determined by the previous accepted set. Gas and biomass use </w:t>
      </w:r>
      <w:r>
        <w:rPr>
          <w:rFonts w:ascii="DejaVu Sans Mono" w:hAnsi="DejaVu Sans Mono"/>
          <w:b w:val="0"/>
          <w:i w:val="0"/>
          <w:sz w:val="17"/>
        </w:rPr>
        <w:t>gen_cost + fuel_cost + carbon_price + unit_time_cost</w:t>
      </w:r>
      <w:r>
        <w:rPr>
          <w:b w:val="0"/>
          <w:i w:val="0"/>
        </w:rPr>
        <w:t xml:space="preserve">; nuclear, renewables and natural-flow hydro use </w:t>
      </w:r>
      <w:r>
        <w:rPr>
          <w:rFonts w:ascii="DejaVu Sans Mono" w:hAnsi="DejaVu Sans Mono"/>
          <w:b w:val="0"/>
          <w:i w:val="0"/>
          <w:sz w:val="17"/>
        </w:rPr>
        <w:t>gen_cost + unit_time_cost</w:t>
      </w:r>
      <w:r>
        <w:rPr>
          <w:b w:val="0"/>
          <w:i w:val="0"/>
        </w:rPr>
        <w:t xml:space="preserve">. The input-row costs are summed into the runtime agent’s </w:t>
      </w:r>
      <w:r>
        <w:rPr>
          <w:rFonts w:ascii="DejaVu Sans Mono" w:hAnsi="DejaVu Sans Mono"/>
          <w:b w:val="0"/>
          <w:i w:val="0"/>
          <w:sz w:val="17"/>
        </w:rPr>
        <w:t>gen_cost</w:t>
      </w:r>
      <w:r>
        <w:rPr>
          <w:b w:val="0"/>
          <w:i w:val="0"/>
        </w:rPr>
        <w:t xml:space="preserve">, in GBP/MWh; </w:t>
      </w:r>
      <w:r>
        <w:rPr>
          <w:rFonts w:ascii="DejaVu Sans Mono" w:hAnsi="DejaVu Sans Mono"/>
          <w:b w:val="0"/>
          <w:i w:val="0"/>
          <w:sz w:val="17"/>
        </w:rPr>
        <w:t>carbon_price</w:t>
      </w:r>
      <w:r>
        <w:rPr>
          <w:b w:val="0"/>
          <w:i w:val="0"/>
        </w:rPr>
        <w:t xml:space="preserve"> is already an expenditure per MWh. For bid multiplier </w:t>
      </w:r>
      <w:r>
        <w:drawing>
          <wp:inline xmlns:a="http://schemas.openxmlformats.org/drawingml/2006/main" xmlns:pic="http://schemas.openxmlformats.org/drawingml/2006/picture">
            <wp:extent cx="1042650" cy="151140"/>
            <wp:docPr id="37" name="Picture 37"/>
            <wp:cNvGraphicFramePr>
              <a:graphicFrameLocks noChangeAspect="1"/>
            </wp:cNvGraphicFramePr>
            <a:graphic>
              <a:graphicData uri="http://schemas.openxmlformats.org/drawingml/2006/picture">
                <pic:pic>
                  <pic:nvPicPr>
                    <pic:cNvPr id="0" name="eq-037.png"/>
                    <pic:cNvPicPr/>
                  </pic:nvPicPr>
                  <pic:blipFill>
                    <a:blip r:embed="rId47"/>
                    <a:stretch>
                      <a:fillRect/>
                    </a:stretch>
                  </pic:blipFill>
                  <pic:spPr>
                    <a:xfrm>
                      <a:off x="0" y="0"/>
                      <a:ext cx="1042650" cy="151140"/>
                    </a:xfrm>
                    <a:prstGeom prst="rect"/>
                  </pic:spPr>
                </pic:pic>
              </a:graphicData>
            </a:graphic>
          </wp:inline>
        </w:drawing>
      </w:r>
      <w:r>
        <w:rPr>
          <w:b w:val="0"/>
          <w:i w:val="0"/>
        </w:rPr>
        <w:t xml:space="preserve">, composite operating cost </w:t>
      </w:r>
      <w:r>
        <w:drawing>
          <wp:inline xmlns:a="http://schemas.openxmlformats.org/drawingml/2006/main" xmlns:pic="http://schemas.openxmlformats.org/drawingml/2006/picture">
            <wp:extent cx="669785" cy="142275"/>
            <wp:docPr id="38" name="Picture 38"/>
            <wp:cNvGraphicFramePr>
              <a:graphicFrameLocks noChangeAspect="1"/>
            </wp:cNvGraphicFramePr>
            <a:graphic>
              <a:graphicData uri="http://schemas.openxmlformats.org/drawingml/2006/picture">
                <pic:pic>
                  <pic:nvPicPr>
                    <pic:cNvPr id="0" name="eq-038.png"/>
                    <pic:cNvPicPr/>
                  </pic:nvPicPr>
                  <pic:blipFill>
                    <a:blip r:embed="rId48"/>
                    <a:stretch>
                      <a:fillRect/>
                    </a:stretch>
                  </pic:blipFill>
                  <pic:spPr>
                    <a:xfrm>
                      <a:off x="0" y="0"/>
                      <a:ext cx="669785" cy="142275"/>
                    </a:xfrm>
                    <a:prstGeom prst="rect"/>
                  </pic:spPr>
                </pic:pic>
              </a:graphicData>
            </a:graphic>
          </wp:inline>
        </w:drawing>
      </w:r>
      <w:r>
        <w:rPr>
          <w:b w:val="0"/>
          <w:i w:val="0"/>
        </w:rPr>
        <w:t xml:space="preserve"> and start-up adder </w:t>
      </w:r>
      <w:r>
        <w:drawing>
          <wp:inline xmlns:a="http://schemas.openxmlformats.org/drawingml/2006/main" xmlns:pic="http://schemas.openxmlformats.org/drawingml/2006/picture">
            <wp:extent cx="946696" cy="140251"/>
            <wp:docPr id="39" name="Picture 39"/>
            <wp:cNvGraphicFramePr>
              <a:graphicFrameLocks noChangeAspect="1"/>
            </wp:cNvGraphicFramePr>
            <a:graphic>
              <a:graphicData uri="http://schemas.openxmlformats.org/drawingml/2006/picture">
                <pic:pic>
                  <pic:nvPicPr>
                    <pic:cNvPr id="0" name="eq-039.png"/>
                    <pic:cNvPicPr/>
                  </pic:nvPicPr>
                  <pic:blipFill>
                    <a:blip r:embed="rId49"/>
                    <a:stretch>
                      <a:fillRect/>
                    </a:stretch>
                  </pic:blipFill>
                  <pic:spPr>
                    <a:xfrm>
                      <a:off x="0" y="0"/>
                      <a:ext cx="946696" cy="140251"/>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4312310" cy="423000"/>
            <wp:docPr id="40" name="Picture 40"/>
            <wp:cNvGraphicFramePr>
              <a:graphicFrameLocks noChangeAspect="1"/>
            </wp:cNvGraphicFramePr>
            <a:graphic>
              <a:graphicData uri="http://schemas.openxmlformats.org/drawingml/2006/picture">
                <pic:pic>
                  <pic:nvPicPr>
                    <pic:cNvPr id="0" name="eq-040.png"/>
                    <pic:cNvPicPr/>
                  </pic:nvPicPr>
                  <pic:blipFill>
                    <a:blip r:embed="rId50"/>
                    <a:stretch>
                      <a:fillRect/>
                    </a:stretch>
                  </pic:blipFill>
                  <pic:spPr>
                    <a:xfrm>
                      <a:off x="0" y="0"/>
                      <a:ext cx="4312310" cy="423000"/>
                    </a:xfrm>
                    <a:prstGeom prst="rect"/>
                  </pic:spPr>
                </pic:pic>
              </a:graphicData>
            </a:graphic>
          </wp:inline>
        </w:drawing>
      </w:r>
    </w:p>
    <w:p>
      <w:r>
        <w:rPr>
          <w:b w:val="0"/>
          <w:i w:val="0"/>
        </w:rPr>
        <w:t>The bid multiplier defaults to 1. Hydro and renewables have zero start-up adders. The GB input rows give biomass a composite cost of 0.2 + 80 + 4.8 = 85 GBP/MWh and a start-up adder of 83 GBP/MWh; CCGT and OCGT composite costs are 55.07 and 74.92 GBP/MWh. Biomass receipts follow market settlement.</w:t>
      </w:r>
    </w:p>
    <w:p>
      <w:pPr>
        <w:keepNext/>
      </w:pPr>
      <w:r>
        <w:rPr>
          <w:b w:val="0"/>
          <w:i w:val="0"/>
        </w:rPr>
        <w:t xml:space="preserve">The annual adapter maps operating and newly commissioned assets to market agents first by name, then by technology and normalised region. Multiple matches use previously mapped capacity, constructor capacity, or equal shares in that order. </w:t>
      </w:r>
      <w:r>
        <w:rPr>
          <w:rFonts w:ascii="DejaVu Sans Mono" w:hAnsi="DejaVu Sans Mono"/>
          <w:b w:val="0"/>
          <w:i w:val="0"/>
          <w:sz w:val="17"/>
        </w:rPr>
        <w:t>weights</w:t>
      </w:r>
      <w:r>
        <w:rPr>
          <w:b w:val="0"/>
          <w:i w:val="0"/>
        </w:rPr>
        <w:t xml:space="preserve"> and </w:t>
      </w:r>
      <w:r>
        <w:rPr>
          <w:rFonts w:ascii="DejaVu Sans Mono" w:hAnsi="DejaVu Sans Mono"/>
          <w:b w:val="0"/>
          <w:i w:val="0"/>
          <w:sz w:val="17"/>
        </w:rPr>
        <w:t>total_weight</w:t>
      </w:r>
      <w:r>
        <w:rPr>
          <w:b w:val="0"/>
          <w:i w:val="0"/>
        </w:rPr>
        <w:t xml:space="preserve"> allocate each asset's </w:t>
      </w:r>
      <w:r>
        <w:rPr>
          <w:rFonts w:ascii="DejaVu Sans Mono" w:hAnsi="DejaVu Sans Mono"/>
          <w:b w:val="0"/>
          <w:i w:val="0"/>
          <w:sz w:val="17"/>
        </w:rPr>
        <w:t>capacity_mw</w:t>
      </w:r>
      <w:r>
        <w:rPr>
          <w:b w:val="0"/>
          <w:i w:val="0"/>
        </w:rPr>
        <w:t xml:space="preserve"> into </w:t>
      </w:r>
      <w:r>
        <w:rPr>
          <w:rFonts w:ascii="DejaVu Sans Mono" w:hAnsi="DejaVu Sans Mono"/>
          <w:b w:val="0"/>
          <w:i w:val="0"/>
          <w:sz w:val="17"/>
        </w:rPr>
        <w:t>generator_sources</w:t>
      </w:r>
      <w:r>
        <w:rPr>
          <w:b w:val="0"/>
          <w:i w:val="0"/>
        </w:rPr>
        <w:t xml:space="preserve">; these capacities are MW, with </w:t>
      </w:r>
      <w:r>
        <w:drawing>
          <wp:inline xmlns:a="http://schemas.openxmlformats.org/drawingml/2006/main" xmlns:pic="http://schemas.openxmlformats.org/drawingml/2006/picture">
            <wp:extent cx="68059" cy="142704"/>
            <wp:docPr id="41" name="Picture 41"/>
            <wp:cNvGraphicFramePr>
              <a:graphicFrameLocks noChangeAspect="1"/>
            </wp:cNvGraphicFramePr>
            <a:graphic>
              <a:graphicData uri="http://schemas.openxmlformats.org/drawingml/2006/picture">
                <pic:pic>
                  <pic:nvPicPr>
                    <pic:cNvPr id="0" name="eq-041.png"/>
                    <pic:cNvPicPr/>
                  </pic:nvPicPr>
                  <pic:blipFill>
                    <a:blip r:embed="rId51"/>
                    <a:stretch>
                      <a:fillRect/>
                    </a:stretch>
                  </pic:blipFill>
                  <pic:spPr>
                    <a:xfrm>
                      <a:off x="0" y="0"/>
                      <a:ext cx="68059" cy="142704"/>
                    </a:xfrm>
                    <a:prstGeom prst="rect"/>
                  </pic:spPr>
                </pic:pic>
              </a:graphicData>
            </a:graphic>
          </wp:inline>
        </w:drawing>
      </w:r>
      <w:r>
        <w:rPr>
          <w:b w:val="0"/>
          <w:i w:val="0"/>
        </w:rPr>
        <w:t xml:space="preserve"> indexing market agents and </w:t>
      </w:r>
      <w:r>
        <w:drawing>
          <wp:inline xmlns:a="http://schemas.openxmlformats.org/drawingml/2006/main" xmlns:pic="http://schemas.openxmlformats.org/drawingml/2006/picture">
            <wp:extent cx="87410" cy="74298"/>
            <wp:docPr id="42" name="Picture 42"/>
            <wp:cNvGraphicFramePr>
              <a:graphicFrameLocks noChangeAspect="1"/>
            </wp:cNvGraphicFramePr>
            <a:graphic>
              <a:graphicData uri="http://schemas.openxmlformats.org/drawingml/2006/picture">
                <pic:pic>
                  <pic:nvPicPr>
                    <pic:cNvPr id="0" name="eq-042.png"/>
                    <pic:cNvPicPr/>
                  </pic:nvPicPr>
                  <pic:blipFill>
                    <a:blip r:embed="rId52"/>
                    <a:stretch>
                      <a:fillRect/>
                    </a:stretch>
                  </pic:blipFill>
                  <pic:spPr>
                    <a:xfrm>
                      <a:off x="0" y="0"/>
                      <a:ext cx="87410" cy="74298"/>
                    </a:xfrm>
                    <a:prstGeom prst="rect"/>
                  </pic:spPr>
                </pic:pic>
              </a:graphicData>
            </a:graphic>
          </wp:inline>
        </w:drawing>
      </w:r>
      <w:r>
        <w:rPr>
          <w:b w:val="0"/>
          <w:i w:val="0"/>
        </w:rPr>
        <w:t xml:space="preserve"> assets. </w:t>
      </w:r>
      <w:r>
        <w:rPr>
          <w:rFonts w:ascii="DejaVu Sans Mono" w:hAnsi="DejaVu Sans Mono"/>
          <w:b w:val="0"/>
          <w:i w:val="0"/>
          <w:sz w:val="17"/>
        </w:rPr>
        <w:t>_​allocate_​runtime_​income</w:t>
      </w:r>
      <w:r>
        <w:rPr>
          <w:b w:val="0"/>
          <w:i w:val="0"/>
        </w:rPr>
        <w:t xml:space="preserve"> distributes </w:t>
      </w:r>
      <w:r>
        <w:rPr>
          <w:rFonts w:ascii="DejaVu Sans Mono" w:hAnsi="DejaVu Sans Mono"/>
          <w:b w:val="0"/>
          <w:i w:val="0"/>
          <w:sz w:val="17"/>
        </w:rPr>
        <w:t>raw_income</w:t>
      </w:r>
      <w:r>
        <w:rPr>
          <w:b w:val="0"/>
          <w:i w:val="0"/>
        </w:rPr>
        <w:t xml:space="preserve"> into the asset account </w:t>
      </w:r>
      <w:r>
        <w:rPr>
          <w:rFonts w:ascii="DejaVu Sans Mono" w:hAnsi="DejaVu Sans Mono"/>
          <w:b w:val="0"/>
          <w:i w:val="0"/>
          <w:sz w:val="17"/>
        </w:rPr>
        <w:t>allocated</w:t>
      </w:r>
      <w:r>
        <w:rPr>
          <w:b w:val="0"/>
          <w:i w:val="0"/>
        </w:rPr>
        <w:t>, both in GBP, in proportion to the mapped capacities:</w:t>
      </w:r>
    </w:p>
    <w:p>
      <w:pPr>
        <w:spacing w:after="160"/>
        <w:jc w:val="center"/>
      </w:pPr>
      <w:r>
        <w:drawing>
          <wp:inline xmlns:a="http://schemas.openxmlformats.org/drawingml/2006/main" xmlns:pic="http://schemas.openxmlformats.org/drawingml/2006/picture">
            <wp:extent cx="4706493" cy="1142907"/>
            <wp:docPr id="43" name="Picture 43"/>
            <wp:cNvGraphicFramePr>
              <a:graphicFrameLocks noChangeAspect="1"/>
            </wp:cNvGraphicFramePr>
            <a:graphic>
              <a:graphicData uri="http://schemas.openxmlformats.org/drawingml/2006/picture">
                <pic:pic>
                  <pic:nvPicPr>
                    <pic:cNvPr id="0" name="eq-043.png"/>
                    <pic:cNvPicPr/>
                  </pic:nvPicPr>
                  <pic:blipFill>
                    <a:blip r:embed="rId53"/>
                    <a:stretch>
                      <a:fillRect/>
                    </a:stretch>
                  </pic:blipFill>
                  <pic:spPr>
                    <a:xfrm>
                      <a:off x="0" y="0"/>
                      <a:ext cx="4706493" cy="1142907"/>
                    </a:xfrm>
                    <a:prstGeom prst="rect"/>
                  </pic:spPr>
                </pic:pic>
              </a:graphicData>
            </a:graphic>
          </wp:inline>
        </w:drawing>
      </w:r>
    </w:p>
    <w:p>
      <w:r>
        <w:rPr>
          <w:b w:val="0"/>
          <w:i w:val="0"/>
        </w:rPr>
        <w:t xml:space="preserve">Wind uses a 20 MW reference unit and multiplier </w:t>
      </w:r>
      <w:r>
        <w:drawing>
          <wp:inline xmlns:a="http://schemas.openxmlformats.org/drawingml/2006/main" xmlns:pic="http://schemas.openxmlformats.org/drawingml/2006/picture">
            <wp:extent cx="1250407" cy="188327"/>
            <wp:docPr id="44" name="Picture 44"/>
            <wp:cNvGraphicFramePr>
              <a:graphicFrameLocks noChangeAspect="1"/>
            </wp:cNvGraphicFramePr>
            <a:graphic>
              <a:graphicData uri="http://schemas.openxmlformats.org/drawingml/2006/picture">
                <pic:pic>
                  <pic:nvPicPr>
                    <pic:cNvPr id="0" name="eq-044.png"/>
                    <pic:cNvPicPr/>
                  </pic:nvPicPr>
                  <pic:blipFill>
                    <a:blip r:embed="rId54"/>
                    <a:stretch>
                      <a:fillRect/>
                    </a:stretch>
                  </pic:blipFill>
                  <pic:spPr>
                    <a:xfrm>
                      <a:off x="0" y="0"/>
                      <a:ext cx="1250407" cy="188327"/>
                    </a:xfrm>
                    <a:prstGeom prst="rect"/>
                  </pic:spPr>
                </pic:pic>
              </a:graphicData>
            </a:graphic>
          </wp:inline>
        </w:drawing>
      </w:r>
      <w:r>
        <w:rPr>
          <w:b w:val="0"/>
          <w:i w:val="0"/>
        </w:rPr>
        <w:t xml:space="preserve">; solar uses a 1 MW reference unit and multiplier </w:t>
      </w:r>
      <w:r>
        <w:drawing>
          <wp:inline xmlns:a="http://schemas.openxmlformats.org/drawingml/2006/main" xmlns:pic="http://schemas.openxmlformats.org/drawingml/2006/picture">
            <wp:extent cx="1002560" cy="172930"/>
            <wp:docPr id="45" name="Picture 45"/>
            <wp:cNvGraphicFramePr>
              <a:graphicFrameLocks noChangeAspect="1"/>
            </wp:cNvGraphicFramePr>
            <a:graphic>
              <a:graphicData uri="http://schemas.openxmlformats.org/drawingml/2006/picture">
                <pic:pic>
                  <pic:nvPicPr>
                    <pic:cNvPr id="0" name="eq-045.png"/>
                    <pic:cNvPicPr/>
                  </pic:nvPicPr>
                  <pic:blipFill>
                    <a:blip r:embed="rId55"/>
                    <a:stretch>
                      <a:fillRect/>
                    </a:stretch>
                  </pic:blipFill>
                  <pic:spPr>
                    <a:xfrm>
                      <a:off x="0" y="0"/>
                      <a:ext cx="1002560" cy="172930"/>
                    </a:xfrm>
                    <a:prstGeom prst="rect"/>
                  </pic:spPr>
                </pic:pic>
              </a:graphicData>
            </a:graphic>
          </wp:inline>
        </w:drawing>
      </w:r>
      <w:r>
        <w:rPr>
          <w:b w:val="0"/>
          <w:i w:val="0"/>
        </w:rPr>
        <w:t xml:space="preserve">. Storage power and energy are aggregated by technology. </w:t>
      </w:r>
      <w:r>
        <w:rPr>
          <w:rFonts w:ascii="DejaVu Sans Mono" w:hAnsi="DejaVu Sans Mono"/>
          <w:b w:val="0"/>
          <w:i w:val="0"/>
          <w:sz w:val="17"/>
        </w:rPr>
        <w:t>scheme_c_native_psm.py</w:t>
      </w:r>
      <w:r>
        <w:rPr>
          <w:b w:val="0"/>
          <w:i w:val="0"/>
        </w:rPr>
        <w:t xml:space="preserve"> creates the year's agents and restores prior sales and sales-weighted holding time for bidding. Each year creates storage agents with empty </w:t>
      </w:r>
      <w:r>
        <w:rPr>
          <w:rFonts w:ascii="DejaVu Sans Mono" w:hAnsi="DejaVu Sans Mono"/>
          <w:b w:val="0"/>
          <w:i w:val="0"/>
          <w:sz w:val="17"/>
        </w:rPr>
        <w:t>stored_energy</w:t>
      </w:r>
      <w:r>
        <w:rPr>
          <w:b w:val="0"/>
          <w:i w:val="0"/>
        </w:rPr>
        <w:t xml:space="preserve">; the preceding year's closing inventory is counted as discarded energy in </w:t>
      </w:r>
      <w:r>
        <w:rPr>
          <w:rFonts w:ascii="DejaVu Sans Mono" w:hAnsi="DejaVu Sans Mono"/>
          <w:b w:val="0"/>
          <w:i w:val="0"/>
          <w:sz w:val="17"/>
        </w:rPr>
        <w:t>storage_year_boundary</w:t>
      </w:r>
      <w:r>
        <w:rPr>
          <w:b w:val="0"/>
          <w:i w:val="0"/>
        </w:rPr>
        <w:t>.</w:t>
      </w:r>
    </w:p>
    <w:p>
      <w:pPr>
        <w:keepNext/>
      </w:pPr>
      <w:r>
        <w:rPr>
          <w:b w:val="0"/>
          <w:i w:val="0"/>
        </w:rPr>
        <w:t xml:space="preserve">Renewable availability uses the same period arrays as the canonical input adapter. </w:t>
      </w:r>
      <w:r>
        <w:rPr>
          <w:rFonts w:ascii="DejaVu Sans Mono" w:hAnsi="DejaVu Sans Mono"/>
          <w:b w:val="0"/>
          <w:i w:val="0"/>
          <w:sz w:val="17"/>
        </w:rPr>
        <w:t>site_​weather.site_​cf_​by_​source</w:t>
      </w:r>
      <w:r>
        <w:rPr>
          <w:b w:val="0"/>
          <w:i w:val="0"/>
        </w:rPr>
        <w:t xml:space="preserve"> computes the Chapter 3 weather, loss and plane-of-array transformations, and </w:t>
      </w:r>
      <w:r>
        <w:rPr>
          <w:rFonts w:ascii="DejaVu Sans Mono" w:hAnsi="DejaVu Sans Mono"/>
          <w:b w:val="0"/>
          <w:i w:val="0"/>
          <w:sz w:val="17"/>
        </w:rPr>
        <w:t>kernel_​injection.KernelSiteInputs</w:t>
      </w:r>
      <w:r>
        <w:rPr>
          <w:b w:val="0"/>
          <w:i w:val="0"/>
        </w:rPr>
        <w:t xml:space="preserve"> supplies the resulting capacity factors </w:t>
      </w:r>
      <w:r>
        <w:drawing>
          <wp:inline xmlns:a="http://schemas.openxmlformats.org/drawingml/2006/main" xmlns:pic="http://schemas.openxmlformats.org/drawingml/2006/picture">
            <wp:extent cx="260407" cy="164122"/>
            <wp:docPr id="46" name="Picture 46"/>
            <wp:cNvGraphicFramePr>
              <a:graphicFrameLocks noChangeAspect="1"/>
            </wp:cNvGraphicFramePr>
            <a:graphic>
              <a:graphicData uri="http://schemas.openxmlformats.org/drawingml/2006/picture">
                <pic:pic>
                  <pic:nvPicPr>
                    <pic:cNvPr id="0" name="eq-046.png"/>
                    <pic:cNvPicPr/>
                  </pic:nvPicPr>
                  <pic:blipFill>
                    <a:blip r:embed="rId56"/>
                    <a:stretch>
                      <a:fillRect/>
                    </a:stretch>
                  </pic:blipFill>
                  <pic:spPr>
                    <a:xfrm>
                      <a:off x="0" y="0"/>
                      <a:ext cx="260407" cy="164122"/>
                    </a:xfrm>
                    <a:prstGeom prst="rect"/>
                  </pic:spPr>
                </pic:pic>
              </a:graphicData>
            </a:graphic>
          </wp:inline>
        </w:drawing>
      </w:r>
      <w:r>
        <w:rPr>
          <w:b w:val="0"/>
          <w:i w:val="0"/>
        </w:rPr>
        <w:t xml:space="preserve"> to the kernel:</w:t>
      </w:r>
    </w:p>
    <w:p>
      <w:pPr>
        <w:spacing w:after="160"/>
        <w:jc w:val="center"/>
      </w:pPr>
      <w:r>
        <w:drawing>
          <wp:inline xmlns:a="http://schemas.openxmlformats.org/drawingml/2006/main" xmlns:pic="http://schemas.openxmlformats.org/drawingml/2006/picture">
            <wp:extent cx="2930728" cy="187456"/>
            <wp:docPr id="47" name="Picture 47"/>
            <wp:cNvGraphicFramePr>
              <a:graphicFrameLocks noChangeAspect="1"/>
            </wp:cNvGraphicFramePr>
            <a:graphic>
              <a:graphicData uri="http://schemas.openxmlformats.org/drawingml/2006/picture">
                <pic:pic>
                  <pic:nvPicPr>
                    <pic:cNvPr id="0" name="eq-047.png"/>
                    <pic:cNvPicPr/>
                  </pic:nvPicPr>
                  <pic:blipFill>
                    <a:blip r:embed="rId57"/>
                    <a:stretch>
                      <a:fillRect/>
                    </a:stretch>
                  </pic:blipFill>
                  <pic:spPr>
                    <a:xfrm>
                      <a:off x="0" y="0"/>
                      <a:ext cx="2930728" cy="187456"/>
                    </a:xfrm>
                    <a:prstGeom prst="rect"/>
                  </pic:spPr>
                </pic:pic>
              </a:graphicData>
            </a:graphic>
          </wp:inline>
        </w:drawing>
      </w:r>
    </w:p>
    <w:p>
      <w:pPr>
        <w:keepNext/>
      </w:pPr>
      <w:r>
        <w:rPr>
          <w:b w:val="0"/>
          <w:i w:val="0"/>
        </w:rPr>
        <w:t xml:space="preserve">Nuclear availability preserves each station's PRIS reference output when converting to model capacity. </w:t>
      </w:r>
      <w:r>
        <w:rPr>
          <w:rFonts w:ascii="DejaVu Sans Mono" w:hAnsi="DejaVu Sans Mono"/>
          <w:b w:val="0"/>
          <w:i w:val="0"/>
          <w:sz w:val="17"/>
        </w:rPr>
        <w:t>nuclear_load_factor</w:t>
      </w:r>
      <w:r>
        <w:rPr>
          <w:b w:val="0"/>
          <w:i w:val="0"/>
        </w:rPr>
        <w:t xml:space="preserve"> reads </w:t>
      </w:r>
      <w:r>
        <w:rPr>
          <w:rFonts w:ascii="DejaVu Sans Mono" w:hAnsi="DejaVu Sans Mono"/>
          <w:b w:val="0"/>
          <w:i w:val="0"/>
          <w:sz w:val="17"/>
        </w:rPr>
        <w:t>pris_load_factor</w:t>
      </w:r>
      <w:r>
        <w:rPr>
          <w:b w:val="0"/>
          <w:i w:val="0"/>
        </w:rPr>
        <w:t xml:space="preserve">, </w:t>
      </w:r>
      <w:r>
        <w:rPr>
          <w:rFonts w:ascii="DejaVu Sans Mono" w:hAnsi="DejaVu Sans Mono"/>
          <w:b w:val="0"/>
          <w:i w:val="0"/>
          <w:sz w:val="17"/>
        </w:rPr>
        <w:t>pris_reference_mw</w:t>
      </w:r>
      <w:r>
        <w:rPr>
          <w:b w:val="0"/>
          <w:i w:val="0"/>
        </w:rPr>
        <w:t xml:space="preserve"> and </w:t>
      </w:r>
      <w:r>
        <w:rPr>
          <w:rFonts w:ascii="DejaVu Sans Mono" w:hAnsi="DejaVu Sans Mono"/>
          <w:b w:val="0"/>
          <w:i w:val="0"/>
          <w:sz w:val="17"/>
        </w:rPr>
        <w:t>capacity_mw</w:t>
      </w:r>
      <w:r>
        <w:rPr>
          <w:b w:val="0"/>
          <w:i w:val="0"/>
        </w:rPr>
        <w:t xml:space="preserve">. </w:t>
      </w:r>
      <w:r>
        <w:rPr>
          <w:rFonts w:ascii="DejaVu Sans Mono" w:hAnsi="DejaVu Sans Mono"/>
          <w:b w:val="0"/>
          <w:i w:val="0"/>
          <w:sz w:val="17"/>
        </w:rPr>
        <w:t>generation_end_period</w:t>
      </w:r>
      <w:r>
        <w:rPr>
          <w:b w:val="0"/>
          <w:i w:val="0"/>
        </w:rPr>
        <w:t xml:space="preserve"> supplies </w:t>
      </w:r>
      <w:r>
        <w:rPr>
          <w:rFonts w:ascii="DejaVu Sans Mono" w:hAnsi="DejaVu Sans Mono"/>
          <w:b w:val="0"/>
          <w:i w:val="0"/>
          <w:sz w:val="17"/>
        </w:rPr>
        <w:t>end</w:t>
      </w:r>
      <w:r>
        <w:rPr>
          <w:b w:val="0"/>
          <w:i w:val="0"/>
        </w:rPr>
        <w:t xml:space="preserve">, the first period after the announced end month; a station with year-round availability retains its factor throughout the year. With </w:t>
      </w:r>
      <w:r>
        <w:drawing>
          <wp:inline xmlns:a="http://schemas.openxmlformats.org/drawingml/2006/main" xmlns:pic="http://schemas.openxmlformats.org/drawingml/2006/picture">
            <wp:extent cx="99094" cy="74871"/>
            <wp:docPr id="48" name="Picture 48"/>
            <wp:cNvGraphicFramePr>
              <a:graphicFrameLocks noChangeAspect="1"/>
            </wp:cNvGraphicFramePr>
            <a:graphic>
              <a:graphicData uri="http://schemas.openxmlformats.org/drawingml/2006/picture">
                <pic:pic>
                  <pic:nvPicPr>
                    <pic:cNvPr id="0" name="eq-048.png"/>
                    <pic:cNvPicPr/>
                  </pic:nvPicPr>
                  <pic:blipFill>
                    <a:blip r:embed="rId58"/>
                    <a:stretch>
                      <a:fillRect/>
                    </a:stretch>
                  </pic:blipFill>
                  <pic:spPr>
                    <a:xfrm>
                      <a:off x="0" y="0"/>
                      <a:ext cx="99094" cy="74871"/>
                    </a:xfrm>
                    <a:prstGeom prst="rect"/>
                  </pic:spPr>
                </pic:pic>
              </a:graphicData>
            </a:graphic>
          </wp:inline>
        </w:drawing>
      </w:r>
      <w:r>
        <w:rPr>
          <w:b w:val="0"/>
          <w:i w:val="0"/>
        </w:rPr>
        <w:t xml:space="preserve"> indexing stations, </w:t>
      </w:r>
      <w:r>
        <w:rPr>
          <w:rFonts w:ascii="DejaVu Sans Mono" w:hAnsi="DejaVu Sans Mono"/>
          <w:b w:val="0"/>
          <w:i w:val="0"/>
          <w:sz w:val="17"/>
        </w:rPr>
        <w:t>asset_availability</w:t>
      </w:r>
      <w:r>
        <w:rPr>
          <w:b w:val="0"/>
          <w:i w:val="0"/>
        </w:rPr>
        <w:t xml:space="preserve"> produces the station array </w:t>
      </w:r>
      <w:r>
        <w:rPr>
          <w:rFonts w:ascii="DejaVu Sans Mono" w:hAnsi="DejaVu Sans Mono"/>
          <w:b w:val="0"/>
          <w:i w:val="0"/>
          <w:sz w:val="17"/>
        </w:rPr>
        <w:t>values</w:t>
      </w:r>
      <w:r>
        <w:rPr>
          <w:b w:val="0"/>
          <w:i w:val="0"/>
        </w:rPr>
        <w:t xml:space="preserve">, and </w:t>
      </w:r>
      <w:r>
        <w:rPr>
          <w:rFonts w:ascii="DejaVu Sans Mono" w:hAnsi="DejaVu Sans Mono"/>
          <w:b w:val="0"/>
          <w:i w:val="0"/>
          <w:sz w:val="17"/>
        </w:rPr>
        <w:t>kernel_availability</w:t>
      </w:r>
      <w:r>
        <w:rPr>
          <w:b w:val="0"/>
          <w:i w:val="0"/>
        </w:rPr>
        <w:t xml:space="preserve"> combines it by capacity:</w:t>
      </w:r>
    </w:p>
    <w:p>
      <w:pPr>
        <w:spacing w:after="160"/>
        <w:jc w:val="center"/>
      </w:pPr>
      <w:r>
        <w:drawing>
          <wp:inline xmlns:a="http://schemas.openxmlformats.org/drawingml/2006/main" xmlns:pic="http://schemas.openxmlformats.org/drawingml/2006/picture">
            <wp:extent cx="5863513" cy="1547602"/>
            <wp:docPr id="49" name="Picture 49"/>
            <wp:cNvGraphicFramePr>
              <a:graphicFrameLocks noChangeAspect="1"/>
            </wp:cNvGraphicFramePr>
            <a:graphic>
              <a:graphicData uri="http://schemas.openxmlformats.org/drawingml/2006/picture">
                <pic:pic>
                  <pic:nvPicPr>
                    <pic:cNvPr id="0" name="eq-049.png"/>
                    <pic:cNvPicPr/>
                  </pic:nvPicPr>
                  <pic:blipFill>
                    <a:blip r:embed="rId59"/>
                    <a:stretch>
                      <a:fillRect/>
                    </a:stretch>
                  </pic:blipFill>
                  <pic:spPr>
                    <a:xfrm>
                      <a:off x="0" y="0"/>
                      <a:ext cx="5863513" cy="1547602"/>
                    </a:xfrm>
                    <a:prstGeom prst="rect"/>
                  </pic:spPr>
                </pic:pic>
              </a:graphicData>
            </a:graphic>
          </wp:inline>
        </w:drawing>
      </w:r>
    </w:p>
    <w:p>
      <w:r>
        <w:rPr>
          <w:b w:val="0"/>
          <w:i w:val="0"/>
        </w:rPr>
        <w:t>The fixed 2019–2024 mean load factors are 0.668 for Heysham 1, 0.689 for Hartlepool, 0.752 for Heysham 2, 0.792 for Torness and 0.801 for Sizewell B. Station-policy inputs set the four AGR stations' availability to zero from period 4,320 of 2030, 1 April 00:00 UTC. Sizewell B retains full-year coverage until its declared retirement year. Fallback load factors are 0.801 for new PWR/EPR stations, 0.727 for an unspecified AGR and 0.723 for an undifferentiated national nuclear asset. GBP1 public2 applies the VALUE-UK nuclear station policy (</w:t>
      </w:r>
      <w:r>
        <w:rPr>
          <w:rFonts w:ascii="DejaVu Sans Mono" w:hAnsi="DejaVu Sans Mono"/>
          <w:b w:val="0"/>
          <w:i w:val="0"/>
          <w:sz w:val="17"/>
        </w:rPr>
        <w:t>value_​uk_​nuclear_​policy_​v1.json</w:t>
      </w:r>
      <w:r>
        <w:rPr>
          <w:b w:val="0"/>
          <w:i w:val="0"/>
        </w:rPr>
        <w:t xml:space="preserve">: five EDF stations and their declared generation ends), while its fleet input table contains one aggregate nuclear row; R029 retains a national aggregate and uses 0.723 under national dispatch. These parameters are supplied by </w:t>
      </w:r>
      <w:r>
        <w:rPr>
          <w:rFonts w:ascii="DejaVu Sans Mono" w:hAnsi="DejaVu Sans Mono"/>
          <w:b w:val="0"/>
          <w:i w:val="0"/>
          <w:sz w:val="17"/>
        </w:rPr>
        <w:t>value_​uk_​firm_​availability_​v1.json</w:t>
      </w:r>
      <w:r>
        <w:rPr>
          <w:b w:val="0"/>
          <w:i w:val="0"/>
        </w:rPr>
        <w:t xml:space="preserve"> and </w:t>
      </w:r>
      <w:r>
        <w:rPr>
          <w:rFonts w:ascii="DejaVu Sans Mono" w:hAnsi="DejaVu Sans Mono"/>
          <w:b w:val="0"/>
          <w:i w:val="0"/>
          <w:sz w:val="17"/>
        </w:rPr>
        <w:t>firm_availability.py</w:t>
      </w:r>
      <w:r>
        <w:rPr>
          <w:b w:val="0"/>
          <w:i w:val="0"/>
        </w:rPr>
        <w:t>.</w:t>
      </w:r>
    </w:p>
    <w:p>
      <w:pPr>
        <w:keepNext/>
      </w:pPr>
      <w:r>
        <w:rPr>
          <w:b w:val="0"/>
          <w:i w:val="0"/>
        </w:rPr>
        <w:t>Natural-flow hydro combines the DUKES 6.3 mean annual load factor with a monthly shape derived from quarterly Energy Trends data:</w:t>
      </w:r>
    </w:p>
    <w:p>
      <w:pPr>
        <w:spacing w:after="160"/>
        <w:jc w:val="center"/>
      </w:pPr>
      <w:r>
        <w:drawing>
          <wp:inline xmlns:a="http://schemas.openxmlformats.org/drawingml/2006/main" xmlns:pic="http://schemas.openxmlformats.org/drawingml/2006/picture">
            <wp:extent cx="3600373" cy="192020"/>
            <wp:docPr id="50" name="Picture 50"/>
            <wp:cNvGraphicFramePr>
              <a:graphicFrameLocks noChangeAspect="1"/>
            </wp:cNvGraphicFramePr>
            <a:graphic>
              <a:graphicData uri="http://schemas.openxmlformats.org/drawingml/2006/picture">
                <pic:pic>
                  <pic:nvPicPr>
                    <pic:cNvPr id="0" name="eq-050.png"/>
                    <pic:cNvPicPr/>
                  </pic:nvPicPr>
                  <pic:blipFill>
                    <a:blip r:embed="rId60"/>
                    <a:stretch>
                      <a:fillRect/>
                    </a:stretch>
                  </pic:blipFill>
                  <pic:spPr>
                    <a:xfrm>
                      <a:off x="0" y="0"/>
                      <a:ext cx="3600373" cy="192020"/>
                    </a:xfrm>
                    <a:prstGeom prst="rect"/>
                  </pic:spPr>
                </pic:pic>
              </a:graphicData>
            </a:graphic>
          </wp:inline>
        </w:drawing>
      </w:r>
    </w:p>
    <w:p>
      <w:pPr>
        <w:spacing w:after="160"/>
        <w:jc w:val="center"/>
      </w:pPr>
      <w:r>
        <w:drawing>
          <wp:inline xmlns:a="http://schemas.openxmlformats.org/drawingml/2006/main" xmlns:pic="http://schemas.openxmlformats.org/drawingml/2006/picture">
            <wp:extent cx="4766614" cy="395503"/>
            <wp:docPr id="51" name="Picture 51"/>
            <wp:cNvGraphicFramePr>
              <a:graphicFrameLocks noChangeAspect="1"/>
            </wp:cNvGraphicFramePr>
            <a:graphic>
              <a:graphicData uri="http://schemas.openxmlformats.org/drawingml/2006/picture">
                <pic:pic>
                  <pic:nvPicPr>
                    <pic:cNvPr id="0" name="eq-051.png"/>
                    <pic:cNvPicPr/>
                  </pic:nvPicPr>
                  <pic:blipFill>
                    <a:blip r:embed="rId61"/>
                    <a:stretch>
                      <a:fillRect/>
                    </a:stretch>
                  </pic:blipFill>
                  <pic:spPr>
                    <a:xfrm>
                      <a:off x="0" y="0"/>
                      <a:ext cx="4766614" cy="395503"/>
                    </a:xfrm>
                    <a:prstGeom prst="rect"/>
                  </pic:spPr>
                </pic:pic>
              </a:graphicData>
            </a:graphic>
          </wp:inline>
        </w:drawing>
      </w:r>
    </w:p>
    <w:p>
      <w:r>
        <w:rPr>
          <w:b w:val="0"/>
          <w:i w:val="0"/>
        </w:rPr>
        <w:t>The shape has an arithmetic monthly mean of 1 and a 365-day weighted mean of 0.99883, giving a model-year availability of 0.3483. Nuclear and hydro use these fixed profiles across model years.</w:t>
      </w:r>
    </w:p>
    <w:p>
      <w:r>
        <w:rPr>
          <w:b w:val="0"/>
          <w:i w:val="0"/>
        </w:rPr>
        <w:t xml:space="preserve">Nuclear begins the year in service and belongs to </w:t>
      </w:r>
      <w:r>
        <w:drawing>
          <wp:inline xmlns:a="http://schemas.openxmlformats.org/drawingml/2006/main" xmlns:pic="http://schemas.openxmlformats.org/drawingml/2006/picture">
            <wp:extent cx="1632400" cy="162144"/>
            <wp:docPr id="52" name="Picture 52"/>
            <wp:cNvGraphicFramePr>
              <a:graphicFrameLocks noChangeAspect="1"/>
            </wp:cNvGraphicFramePr>
            <a:graphic>
              <a:graphicData uri="http://schemas.openxmlformats.org/drawingml/2006/picture">
                <pic:pic>
                  <pic:nvPicPr>
                    <pic:cNvPr id="0" name="eq-052.png"/>
                    <pic:cNvPicPr/>
                  </pic:nvPicPr>
                  <pic:blipFill>
                    <a:blip r:embed="rId62"/>
                    <a:stretch>
                      <a:fillRect/>
                    </a:stretch>
                  </pic:blipFill>
                  <pic:spPr>
                    <a:xfrm>
                      <a:off x="0" y="0"/>
                      <a:ext cx="1632400" cy="162144"/>
                    </a:xfrm>
                    <a:prstGeom prst="rect"/>
                  </pic:spPr>
                </pic:pic>
              </a:graphicData>
            </a:graphic>
          </wp:inline>
        </w:drawing>
      </w:r>
      <w:r>
        <w:rPr>
          <w:b w:val="0"/>
          <w:i w:val="0"/>
        </w:rPr>
        <w:t xml:space="preserve">; gas and biomass begin outside that set. The generator parameter rows provide opening </w:t>
      </w:r>
      <w:r>
        <w:rPr>
          <w:rFonts w:ascii="DejaVu Sans Mono" w:hAnsi="DejaVu Sans Mono"/>
          <w:b w:val="0"/>
          <w:i w:val="0"/>
          <w:sz w:val="17"/>
        </w:rPr>
        <w:t>real_gen_energy</w:t>
      </w:r>
      <w:r>
        <w:rPr>
          <w:b w:val="0"/>
          <w:i w:val="0"/>
        </w:rPr>
        <w:t xml:space="preserve">, and nuclear initially sets it to </w:t>
      </w:r>
      <w:r>
        <w:rPr>
          <w:rFonts w:ascii="DejaVu Sans Mono" w:hAnsi="DejaVu Sans Mono"/>
          <w:b w:val="0"/>
          <w:i w:val="0"/>
          <w:sz w:val="17"/>
        </w:rPr>
        <w:t>capacity_limit</w:t>
      </w:r>
      <w:r>
        <w:rPr>
          <w:b w:val="0"/>
          <w:i w:val="0"/>
        </w:rPr>
        <w:t xml:space="preserve">. Hydro and biomass initialise </w:t>
      </w:r>
      <w:r>
        <w:rPr>
          <w:rFonts w:ascii="DejaVu Sans Mono" w:hAnsi="DejaVu Sans Mono"/>
          <w:b w:val="0"/>
          <w:i w:val="0"/>
          <w:sz w:val="17"/>
        </w:rPr>
        <w:t>have_gen_energy</w:t>
      </w:r>
      <w:r>
        <w:rPr>
          <w:b w:val="0"/>
          <w:i w:val="0"/>
        </w:rPr>
        <w:t xml:space="preserve"> to their opening </w:t>
      </w:r>
      <w:r>
        <w:rPr>
          <w:rFonts w:ascii="DejaVu Sans Mono" w:hAnsi="DejaVu Sans Mono"/>
          <w:b w:val="0"/>
          <w:i w:val="0"/>
          <w:sz w:val="17"/>
        </w:rPr>
        <w:t>real_gen_energy</w:t>
      </w:r>
      <w:r>
        <w:rPr>
          <w:b w:val="0"/>
          <w:i w:val="0"/>
        </w:rPr>
        <w:t xml:space="preserve">. Each period adds </w:t>
      </w:r>
      <w:r>
        <w:rPr>
          <w:rFonts w:ascii="DejaVu Sans Mono" w:hAnsi="DejaVu Sans Mono"/>
          <w:b w:val="0"/>
          <w:i w:val="0"/>
          <w:sz w:val="17"/>
        </w:rPr>
        <w:t>add_energy</w:t>
      </w:r>
      <w:r>
        <w:rPr>
          <w:b w:val="0"/>
          <w:i w:val="0"/>
        </w:rPr>
        <w:t xml:space="preserve"> to </w:t>
      </w:r>
      <w:r>
        <w:rPr>
          <w:rFonts w:ascii="DejaVu Sans Mono" w:hAnsi="DejaVu Sans Mono"/>
          <w:b w:val="0"/>
          <w:i w:val="0"/>
          <w:sz w:val="17"/>
        </w:rPr>
        <w:t>energy_limit</w:t>
      </w:r>
      <w:r>
        <w:rPr>
          <w:b w:val="0"/>
          <w:i w:val="0"/>
        </w:rPr>
        <w:t xml:space="preserve">, accepts generation against the remaining budget, and returns curtailed generation to that budget. The budget quantities are MW-periods; multiplication by </w:t>
      </w:r>
      <w:r>
        <w:rPr>
          <w:rFonts w:ascii="DejaVu Sans Mono" w:hAnsi="DejaVu Sans Mono"/>
          <w:b w:val="0"/>
          <w:i w:val="0"/>
          <w:sz w:val="17"/>
        </w:rPr>
        <w:t>period_hours</w:t>
      </w:r>
      <w:r>
        <w:rPr>
          <w:b w:val="0"/>
          <w:i w:val="0"/>
        </w:rPr>
        <w:t xml:space="preserve"> gives MWh.</w:t>
      </w:r>
    </w:p>
    <w:p>
      <w:pPr>
        <w:pStyle w:val="Heading2"/>
      </w:pPr>
      <w:r>
        <w:rPr>
          <w:b w:val="0"/>
          <w:i w:val="0"/>
        </w:rPr>
        <w:t>Storage offers and period positions</w:t>
      </w:r>
    </w:p>
    <w:p>
      <w:pPr>
        <w:keepNext/>
      </w:pPr>
      <w:r>
        <w:rPr>
          <w:b w:val="0"/>
          <w:i w:val="0"/>
        </w:rPr>
        <w:t xml:space="preserve">The storage agent records each charging period's stored-side MWh in </w:t>
      </w:r>
      <w:r>
        <w:rPr>
          <w:rFonts w:ascii="DejaVu Sans Mono" w:hAnsi="DejaVu Sans Mono"/>
          <w:b w:val="0"/>
          <w:i w:val="0"/>
          <w:sz w:val="17"/>
        </w:rPr>
        <w:t>stored_energy</w:t>
      </w:r>
      <w:r>
        <w:rPr>
          <w:b w:val="0"/>
          <w:i w:val="0"/>
        </w:rPr>
        <w:t xml:space="preserve">, indexed by the charging period </w:t>
      </w:r>
      <w:r>
        <w:drawing>
          <wp:inline xmlns:a="http://schemas.openxmlformats.org/drawingml/2006/main" xmlns:pic="http://schemas.openxmlformats.org/drawingml/2006/picture">
            <wp:extent cx="86096" cy="117002"/>
            <wp:docPr id="53" name="Picture 53"/>
            <wp:cNvGraphicFramePr>
              <a:graphicFrameLocks noChangeAspect="1"/>
            </wp:cNvGraphicFramePr>
            <a:graphic>
              <a:graphicData uri="http://schemas.openxmlformats.org/drawingml/2006/picture">
                <pic:pic>
                  <pic:nvPicPr>
                    <pic:cNvPr id="0" name="eq-053.png"/>
                    <pic:cNvPicPr/>
                  </pic:nvPicPr>
                  <pic:blipFill>
                    <a:blip r:embed="rId63"/>
                    <a:stretch>
                      <a:fillRect/>
                    </a:stretch>
                  </pic:blipFill>
                  <pic:spPr>
                    <a:xfrm>
                      <a:off x="0" y="0"/>
                      <a:ext cx="86096" cy="117002"/>
                    </a:xfrm>
                    <a:prstGeom prst="rect"/>
                  </pic:spPr>
                </pic:pic>
              </a:graphicData>
            </a:graphic>
          </wp:inline>
        </w:drawing>
      </w:r>
      <w:r>
        <w:rPr>
          <w:b w:val="0"/>
          <w:i w:val="0"/>
        </w:rPr>
        <w:t xml:space="preserve">; </w:t>
      </w:r>
      <w:r>
        <w:drawing>
          <wp:inline xmlns:a="http://schemas.openxmlformats.org/drawingml/2006/main" xmlns:pic="http://schemas.openxmlformats.org/drawingml/2006/picture">
            <wp:extent cx="59661" cy="106064"/>
            <wp:docPr id="54" name="Picture 54"/>
            <wp:cNvGraphicFramePr>
              <a:graphicFrameLocks noChangeAspect="1"/>
            </wp:cNvGraphicFramePr>
            <a:graphic>
              <a:graphicData uri="http://schemas.openxmlformats.org/drawingml/2006/picture">
                <pic:pic>
                  <pic:nvPicPr>
                    <pic:cNvPr id="0" name="eq-036.png"/>
                    <pic:cNvPicPr/>
                  </pic:nvPicPr>
                  <pic:blipFill>
                    <a:blip r:embed="rId46"/>
                    <a:stretch>
                      <a:fillRect/>
                    </a:stretch>
                  </pic:blipFill>
                  <pic:spPr>
                    <a:xfrm>
                      <a:off x="0" y="0"/>
                      <a:ext cx="59661" cy="106064"/>
                    </a:xfrm>
                    <a:prstGeom prst="rect"/>
                  </pic:spPr>
                </pic:pic>
              </a:graphicData>
            </a:graphic>
          </wp:inline>
        </w:drawing>
      </w:r>
      <w:r>
        <w:rPr>
          <w:b w:val="0"/>
          <w:i w:val="0"/>
        </w:rPr>
        <w:t xml:space="preserve"> denotes the current period. </w:t>
      </w:r>
      <w:r>
        <w:rPr>
          <w:rFonts w:ascii="DejaVu Sans Mono" w:hAnsi="DejaVu Sans Mono"/>
          <w:b w:val="0"/>
          <w:i w:val="0"/>
          <w:sz w:val="17"/>
        </w:rPr>
        <w:t>Battery.charge</w:t>
      </w:r>
      <w:r>
        <w:rPr>
          <w:b w:val="0"/>
          <w:i w:val="0"/>
        </w:rPr>
        <w:t xml:space="preserve"> limits input by </w:t>
      </w:r>
      <w:r>
        <w:rPr>
          <w:rFonts w:ascii="DejaVu Sans Mono" w:hAnsi="DejaVu Sans Mono"/>
          <w:b w:val="0"/>
          <w:i w:val="0"/>
          <w:sz w:val="17"/>
        </w:rPr>
        <w:t>power_capacity_mw</w:t>
      </w:r>
      <w:r>
        <w:rPr>
          <w:b w:val="0"/>
          <w:i w:val="0"/>
        </w:rPr>
        <w:t xml:space="preserve">, </w:t>
      </w:r>
      <w:r>
        <w:rPr>
          <w:rFonts w:ascii="DejaVu Sans Mono" w:hAnsi="DejaVu Sans Mono"/>
          <w:b w:val="0"/>
          <w:i w:val="0"/>
          <w:sz w:val="17"/>
        </w:rPr>
        <w:t>energy_capacity_mwh</w:t>
      </w:r>
      <w:r>
        <w:rPr>
          <w:b w:val="0"/>
          <w:i w:val="0"/>
        </w:rPr>
        <w:t xml:space="preserve">, charging efficiency </w:t>
      </w:r>
      <w:r>
        <w:rPr>
          <w:rFonts w:ascii="DejaVu Sans Mono" w:hAnsi="DejaVu Sans Mono"/>
          <w:b w:val="0"/>
          <w:i w:val="0"/>
          <w:sz w:val="17"/>
        </w:rPr>
        <w:t>n_1</w:t>
      </w:r>
      <w:r>
        <w:rPr>
          <w:b w:val="0"/>
          <w:i w:val="0"/>
        </w:rPr>
        <w:t xml:space="preserve"> and remaining power after the current period's earlier charging. For each battery, the implementation calculates</w:t>
      </w:r>
    </w:p>
    <w:p>
      <w:pPr>
        <w:spacing w:after="160"/>
        <w:jc w:val="center"/>
      </w:pPr>
      <w:r>
        <w:drawing>
          <wp:inline xmlns:a="http://schemas.openxmlformats.org/drawingml/2006/main" xmlns:pic="http://schemas.openxmlformats.org/drawingml/2006/picture">
            <wp:extent cx="6215100" cy="2180657"/>
            <wp:docPr id="55" name="Picture 55"/>
            <wp:cNvGraphicFramePr>
              <a:graphicFrameLocks noChangeAspect="1"/>
            </wp:cNvGraphicFramePr>
            <a:graphic>
              <a:graphicData uri="http://schemas.openxmlformats.org/drawingml/2006/picture">
                <pic:pic>
                  <pic:nvPicPr>
                    <pic:cNvPr id="0" name="eq-055.png"/>
                    <pic:cNvPicPr/>
                  </pic:nvPicPr>
                  <pic:blipFill>
                    <a:blip r:embed="rId64"/>
                    <a:stretch>
                      <a:fillRect/>
                    </a:stretch>
                  </pic:blipFill>
                  <pic:spPr>
                    <a:xfrm>
                      <a:off x="0" y="0"/>
                      <a:ext cx="6215100" cy="2180657"/>
                    </a:xfrm>
                    <a:prstGeom prst="rect"/>
                  </pic:spPr>
                </pic:pic>
              </a:graphicData>
            </a:graphic>
          </wp:inline>
        </w:drawing>
      </w:r>
    </w:p>
    <w:p>
      <w:pPr>
        <w:keepNext/>
      </w:pPr>
      <w:r>
        <w:rPr>
          <w:rFonts w:ascii="DejaVu Sans Mono" w:hAnsi="DejaVu Sans Mono"/>
          <w:b w:val="0"/>
          <w:i w:val="0"/>
          <w:sz w:val="17"/>
        </w:rPr>
        <w:t>Battery.discharge</w:t>
      </w:r>
      <w:r>
        <w:rPr>
          <w:b w:val="0"/>
          <w:i w:val="0"/>
        </w:rPr>
        <w:t xml:space="preserve"> withdraws </w:t>
      </w:r>
      <w:r>
        <w:rPr>
          <w:rFonts w:ascii="DejaVu Sans Mono" w:hAnsi="DejaVu Sans Mono"/>
          <w:b w:val="0"/>
          <w:i w:val="0"/>
          <w:sz w:val="17"/>
        </w:rPr>
        <w:t>output_power * period_hours / n_2</w:t>
      </w:r>
      <w:r>
        <w:rPr>
          <w:b w:val="0"/>
          <w:i w:val="0"/>
        </w:rPr>
        <w:t xml:space="preserve"> MWh from the selected batch, where </w:t>
      </w:r>
      <w:r>
        <w:rPr>
          <w:rFonts w:ascii="DejaVu Sans Mono" w:hAnsi="DejaVu Sans Mono"/>
          <w:b w:val="0"/>
          <w:i w:val="0"/>
          <w:sz w:val="17"/>
        </w:rPr>
        <w:t>n_2</w:t>
      </w:r>
      <w:r>
        <w:rPr>
          <w:b w:val="0"/>
          <w:i w:val="0"/>
        </w:rPr>
        <w:t xml:space="preserve"> is discharging efficiency. All batches and stages share rated power. Ahead offers use existing batches; upward balancing uses batches aged at least two periods. The period book's </w:t>
      </w:r>
      <w:r>
        <w:rPr>
          <w:rFonts w:ascii="DejaVu Sans Mono" w:hAnsi="DejaVu Sans Mono"/>
          <w:b w:val="0"/>
          <w:i w:val="0"/>
          <w:sz w:val="17"/>
        </w:rPr>
        <w:t>discharged_mw</w:t>
      </w:r>
      <w:r>
        <w:rPr>
          <w:b w:val="0"/>
          <w:i w:val="0"/>
        </w:rPr>
        <w:t xml:space="preserve"> and </w:t>
      </w:r>
      <w:r>
        <w:rPr>
          <w:rFonts w:ascii="DejaVu Sans Mono" w:hAnsi="DejaVu Sans Mono"/>
          <w:b w:val="0"/>
          <w:i w:val="0"/>
          <w:sz w:val="17"/>
        </w:rPr>
        <w:t>charged_mw</w:t>
      </w:r>
      <w:r>
        <w:rPr>
          <w:b w:val="0"/>
          <w:i w:val="0"/>
        </w:rPr>
        <w:t xml:space="preserve">, and the sum of </w:t>
      </w:r>
      <w:r>
        <w:rPr>
          <w:rFonts w:ascii="DejaVu Sans Mono" w:hAnsi="DejaVu Sans Mono"/>
          <w:b w:val="0"/>
          <w:i w:val="0"/>
          <w:sz w:val="17"/>
        </w:rPr>
        <w:t>stored_energy</w:t>
      </w:r>
      <w:r>
        <w:rPr>
          <w:b w:val="0"/>
          <w:i w:val="0"/>
        </w:rPr>
        <w:t>, satisfy</w:t>
      </w:r>
    </w:p>
    <w:p>
      <w:pPr>
        <w:spacing w:after="160"/>
        <w:jc w:val="center"/>
      </w:pPr>
      <w:r>
        <w:drawing>
          <wp:inline xmlns:a="http://schemas.openxmlformats.org/drawingml/2006/main" xmlns:pic="http://schemas.openxmlformats.org/drawingml/2006/picture">
            <wp:extent cx="5391302" cy="845963"/>
            <wp:docPr id="56" name="Picture 56"/>
            <wp:cNvGraphicFramePr>
              <a:graphicFrameLocks noChangeAspect="1"/>
            </wp:cNvGraphicFramePr>
            <a:graphic>
              <a:graphicData uri="http://schemas.openxmlformats.org/drawingml/2006/picture">
                <pic:pic>
                  <pic:nvPicPr>
                    <pic:cNvPr id="0" name="eq-056.png"/>
                    <pic:cNvPicPr/>
                  </pic:nvPicPr>
                  <pic:blipFill>
                    <a:blip r:embed="rId65"/>
                    <a:stretch>
                      <a:fillRect/>
                    </a:stretch>
                  </pic:blipFill>
                  <pic:spPr>
                    <a:xfrm>
                      <a:off x="0" y="0"/>
                      <a:ext cx="5391302" cy="845963"/>
                    </a:xfrm>
                    <a:prstGeom prst="rect"/>
                  </pic:spPr>
                </pic:pic>
              </a:graphicData>
            </a:graphic>
          </wp:inline>
        </w:drawing>
      </w:r>
    </w:p>
    <w:p>
      <w:r>
        <w:rPr>
          <w:b w:val="0"/>
          <w:i w:val="0"/>
        </w:rPr>
        <w:t>Surplus absorption first buys back the store's discharge from the same period and returns the withdrawn energy to its original batches. Further surplus can charge the store after its remaining discharge reaches zero. A store that has charged offers zero discharge in later stages. Surplus absorption processes forecast surplus before other available surplus and record sales at the closing net position. Ahead storage remuneration remains payable on bought-back output.</w:t>
      </w:r>
    </w:p>
    <w:p>
      <w:r>
        <w:rPr>
          <w:b w:val="0"/>
          <w:i w:val="0"/>
        </w:rPr>
        <w:t xml:space="preserve">Self-discharge multiplies inventory by </w:t>
      </w:r>
      <w:r>
        <w:drawing>
          <wp:inline xmlns:a="http://schemas.openxmlformats.org/drawingml/2006/main" xmlns:pic="http://schemas.openxmlformats.org/drawingml/2006/picture">
            <wp:extent cx="1060615" cy="149012"/>
            <wp:docPr id="57" name="Picture 57"/>
            <wp:cNvGraphicFramePr>
              <a:graphicFrameLocks noChangeAspect="1"/>
            </wp:cNvGraphicFramePr>
            <a:graphic>
              <a:graphicData uri="http://schemas.openxmlformats.org/drawingml/2006/picture">
                <pic:pic>
                  <pic:nvPicPr>
                    <pic:cNvPr id="0" name="eq-057.png"/>
                    <pic:cNvPicPr/>
                  </pic:nvPicPr>
                  <pic:blipFill>
                    <a:blip r:embed="rId66"/>
                    <a:stretch>
                      <a:fillRect/>
                    </a:stretch>
                  </pic:blipFill>
                  <pic:spPr>
                    <a:xfrm>
                      <a:off x="0" y="0"/>
                      <a:ext cx="1060615" cy="149012"/>
                    </a:xfrm>
                    <a:prstGeom prst="rect"/>
                  </pic:spPr>
                </pic:pic>
              </a:graphicData>
            </a:graphic>
          </wp:inline>
        </w:drawing>
      </w:r>
      <w:r>
        <w:rPr>
          <w:b w:val="0"/>
          <w:i w:val="0"/>
        </w:rPr>
        <w:t xml:space="preserve"> each period. The values of </w:t>
      </w:r>
      <w:r>
        <w:drawing>
          <wp:inline xmlns:a="http://schemas.openxmlformats.org/drawingml/2006/main" xmlns:pic="http://schemas.openxmlformats.org/drawingml/2006/picture">
            <wp:extent cx="776036" cy="149069"/>
            <wp:docPr id="58" name="Picture 58"/>
            <wp:cNvGraphicFramePr>
              <a:graphicFrameLocks noChangeAspect="1"/>
            </wp:cNvGraphicFramePr>
            <a:graphic>
              <a:graphicData uri="http://schemas.openxmlformats.org/drawingml/2006/picture">
                <pic:pic>
                  <pic:nvPicPr>
                    <pic:cNvPr id="0" name="eq-058.png"/>
                    <pic:cNvPicPr/>
                  </pic:nvPicPr>
                  <pic:blipFill>
                    <a:blip r:embed="rId67"/>
                    <a:stretch>
                      <a:fillRect/>
                    </a:stretch>
                  </pic:blipFill>
                  <pic:spPr>
                    <a:xfrm>
                      <a:off x="0" y="0"/>
                      <a:ext cx="776036" cy="149069"/>
                    </a:xfrm>
                    <a:prstGeom prst="rect"/>
                  </pic:spPr>
                </pic:pic>
              </a:graphicData>
            </a:graphic>
          </wp:inline>
        </w:drawing>
      </w:r>
      <w:r>
        <w:rPr>
          <w:b w:val="0"/>
          <w:i w:val="0"/>
        </w:rPr>
        <w:t xml:space="preserve"> are 0.000021 for batteries and other default types, 0.000001 for pumped hydro and 0.000005 for hydrogen storage. Batches below 0.001 MWh are removed and included in inventory reconciliation.</w:t>
      </w:r>
    </w:p>
    <w:p>
      <w:pPr>
        <w:keepNext/>
      </w:pPr>
      <w:r>
        <w:rPr>
          <w:b w:val="0"/>
          <w:i w:val="0"/>
        </w:rPr>
        <w:t xml:space="preserve">The default dynamic storage-cost module uses cycle depreciation in storage bids. Batteries bid </w:t>
      </w:r>
      <w:r>
        <w:drawing>
          <wp:inline xmlns:a="http://schemas.openxmlformats.org/drawingml/2006/main" xmlns:pic="http://schemas.openxmlformats.org/drawingml/2006/picture">
            <wp:extent cx="3636352" cy="157721"/>
            <wp:docPr id="59" name="Picture 59"/>
            <wp:cNvGraphicFramePr>
              <a:graphicFrameLocks noChangeAspect="1"/>
            </wp:cNvGraphicFramePr>
            <a:graphic>
              <a:graphicData uri="http://schemas.openxmlformats.org/drawingml/2006/picture">
                <pic:pic>
                  <pic:nvPicPr>
                    <pic:cNvPr id="0" name="eq-059.png"/>
                    <pic:cNvPicPr/>
                  </pic:nvPicPr>
                  <pic:blipFill>
                    <a:blip r:embed="rId68"/>
                    <a:stretch>
                      <a:fillRect/>
                    </a:stretch>
                  </pic:blipFill>
                  <pic:spPr>
                    <a:xfrm>
                      <a:off x="0" y="0"/>
                      <a:ext cx="3636352" cy="157721"/>
                    </a:xfrm>
                    <a:prstGeom prst="rect"/>
                  </pic:spPr>
                </pic:pic>
              </a:graphicData>
            </a:graphic>
          </wp:inline>
        </w:drawing>
      </w:r>
      <w:r>
        <w:rPr>
          <w:b w:val="0"/>
          <w:i w:val="0"/>
        </w:rPr>
        <w:t>; pumped hydro and hydrogen storage bid zero. Oldest batches are offered first:</w:t>
      </w:r>
    </w:p>
    <w:p>
      <w:pPr>
        <w:spacing w:after="160"/>
        <w:jc w:val="center"/>
      </w:pPr>
      <w:r>
        <w:drawing>
          <wp:inline xmlns:a="http://schemas.openxmlformats.org/drawingml/2006/main" xmlns:pic="http://schemas.openxmlformats.org/drawingml/2006/picture">
            <wp:extent cx="6217920" cy="377033"/>
            <wp:docPr id="60" name="Picture 60"/>
            <wp:cNvGraphicFramePr>
              <a:graphicFrameLocks noChangeAspect="1"/>
            </wp:cNvGraphicFramePr>
            <a:graphic>
              <a:graphicData uri="http://schemas.openxmlformats.org/drawingml/2006/picture">
                <pic:pic>
                  <pic:nvPicPr>
                    <pic:cNvPr id="0" name="eq-060.png"/>
                    <pic:cNvPicPr/>
                  </pic:nvPicPr>
                  <pic:blipFill>
                    <a:blip r:embed="rId69"/>
                    <a:stretch>
                      <a:fillRect/>
                    </a:stretch>
                  </pic:blipFill>
                  <pic:spPr>
                    <a:xfrm>
                      <a:off x="0" y="0"/>
                      <a:ext cx="6217920" cy="377033"/>
                    </a:xfrm>
                    <a:prstGeom prst="rect"/>
                  </pic:spPr>
                </pic:pic>
              </a:graphicData>
            </a:graphic>
          </wp:inline>
        </w:drawing>
      </w:r>
    </w:p>
    <w:p>
      <w:r>
        <w:rPr>
          <w:b w:val="0"/>
          <w:i w:val="0"/>
        </w:rPr>
        <w:t>Chapter 4 defines the storage state and bid-cost calculation. Annual delivered MWh and sales-weighted holding time supply the following year's pricing inputs; Chapter 6 defines their cost treatment.</w:t>
      </w:r>
    </w:p>
    <w:p>
      <w:pPr>
        <w:pStyle w:val="Heading2"/>
      </w:pPr>
      <w:r>
        <w:rPr>
          <w:b w:val="0"/>
          <w:i w:val="0"/>
        </w:rPr>
        <w:t>Forecast clearing and balancing</w:t>
      </w:r>
    </w:p>
    <w:p>
      <w:pPr>
        <w:keepNext/>
      </w:pPr>
      <w:r>
        <w:rPr>
          <w:b w:val="0"/>
          <w:i w:val="0"/>
        </w:rPr>
        <w:t>Market clearing orders generator, import and storage-batch offers by a stable key. Within the same 0.01 £/MWh band, generation and imports precede storage; unrounded price and input order resolve further ties:</w:t>
      </w:r>
    </w:p>
    <w:p>
      <w:pPr>
        <w:spacing w:after="160"/>
        <w:jc w:val="center"/>
      </w:pPr>
      <w:r>
        <w:drawing>
          <wp:inline xmlns:a="http://schemas.openxmlformats.org/drawingml/2006/main" xmlns:pic="http://schemas.openxmlformats.org/drawingml/2006/picture">
            <wp:extent cx="5119801" cy="171422"/>
            <wp:docPr id="61" name="Picture 61"/>
            <wp:cNvGraphicFramePr>
              <a:graphicFrameLocks noChangeAspect="1"/>
            </wp:cNvGraphicFramePr>
            <a:graphic>
              <a:graphicData uri="http://schemas.openxmlformats.org/drawingml/2006/picture">
                <pic:pic>
                  <pic:nvPicPr>
                    <pic:cNvPr id="0" name="eq-061.png"/>
                    <pic:cNvPicPr/>
                  </pic:nvPicPr>
                  <pic:blipFill>
                    <a:blip r:embed="rId70"/>
                    <a:stretch>
                      <a:fillRect/>
                    </a:stretch>
                  </pic:blipFill>
                  <pic:spPr>
                    <a:xfrm>
                      <a:off x="0" y="0"/>
                      <a:ext cx="5119801" cy="171422"/>
                    </a:xfrm>
                    <a:prstGeom prst="rect"/>
                  </pic:spPr>
                </pic:pic>
              </a:graphicData>
            </a:graphic>
          </wp:inline>
        </w:drawing>
      </w:r>
    </w:p>
    <w:p>
      <w:pPr>
        <w:keepNext/>
      </w:pPr>
      <w:r>
        <w:rPr>
          <w:b w:val="0"/>
          <w:i w:val="0"/>
        </w:rPr>
        <w:t>An ordinary generator serves residual forecast demand up to</w:t>
      </w:r>
    </w:p>
    <w:p>
      <w:pPr>
        <w:spacing w:after="160"/>
        <w:jc w:val="center"/>
      </w:pPr>
      <w:r>
        <w:drawing>
          <wp:inline xmlns:a="http://schemas.openxmlformats.org/drawingml/2006/main" xmlns:pic="http://schemas.openxmlformats.org/drawingml/2006/picture">
            <wp:extent cx="4294479" cy="194269"/>
            <wp:docPr id="62" name="Picture 62"/>
            <wp:cNvGraphicFramePr>
              <a:graphicFrameLocks noChangeAspect="1"/>
            </wp:cNvGraphicFramePr>
            <a:graphic>
              <a:graphicData uri="http://schemas.openxmlformats.org/drawingml/2006/picture">
                <pic:pic>
                  <pic:nvPicPr>
                    <pic:cNvPr id="0" name="eq-062.png"/>
                    <pic:cNvPicPr/>
                  </pic:nvPicPr>
                  <pic:blipFill>
                    <a:blip r:embed="rId71"/>
                    <a:stretch>
                      <a:fillRect/>
                    </a:stretch>
                  </pic:blipFill>
                  <pic:spPr>
                    <a:xfrm>
                      <a:off x="0" y="0"/>
                      <a:ext cx="4294479" cy="194269"/>
                    </a:xfrm>
                    <a:prstGeom prst="rect"/>
                  </pic:spPr>
                </pic:pic>
              </a:graphicData>
            </a:graphic>
          </wp:inline>
        </w:drawing>
      </w:r>
    </w:p>
    <w:p>
      <w:r>
        <w:rPr>
          <w:b w:val="0"/>
          <w:i w:val="0"/>
        </w:rPr>
        <w:t xml:space="preserve">Hydro and biomass also obey their remaining cumulative budget </w:t>
      </w:r>
      <w:r>
        <w:drawing>
          <wp:inline xmlns:a="http://schemas.openxmlformats.org/drawingml/2006/main" xmlns:pic="http://schemas.openxmlformats.org/drawingml/2006/picture">
            <wp:extent cx="2426766" cy="155506"/>
            <wp:docPr id="63" name="Picture 63"/>
            <wp:cNvGraphicFramePr>
              <a:graphicFrameLocks noChangeAspect="1"/>
            </wp:cNvGraphicFramePr>
            <a:graphic>
              <a:graphicData uri="http://schemas.openxmlformats.org/drawingml/2006/picture">
                <pic:pic>
                  <pic:nvPicPr>
                    <pic:cNvPr id="0" name="eq-063.png"/>
                    <pic:cNvPicPr/>
                  </pic:nvPicPr>
                  <pic:blipFill>
                    <a:blip r:embed="rId72"/>
                    <a:stretch>
                      <a:fillRect/>
                    </a:stretch>
                  </pic:blipFill>
                  <pic:spPr>
                    <a:xfrm>
                      <a:off x="0" y="0"/>
                      <a:ext cx="2426766" cy="155506"/>
                    </a:xfrm>
                    <a:prstGeom prst="rect"/>
                  </pic:spPr>
                </pic:pic>
              </a:graphicData>
            </a:graphic>
          </wp:inline>
        </w:drawing>
      </w:r>
      <w:r>
        <w:rPr>
          <w:b w:val="0"/>
          <w:i w:val="0"/>
        </w:rPr>
        <w:t xml:space="preserve">, expressed in MW-periods and converted to MWh by </w:t>
      </w:r>
      <w:r>
        <w:drawing>
          <wp:inline xmlns:a="http://schemas.openxmlformats.org/drawingml/2006/main" xmlns:pic="http://schemas.openxmlformats.org/drawingml/2006/picture">
            <wp:extent cx="929170" cy="146826"/>
            <wp:docPr id="64" name="Picture 64"/>
            <wp:cNvGraphicFramePr>
              <a:graphicFrameLocks noChangeAspect="1"/>
            </wp:cNvGraphicFramePr>
            <a:graphic>
              <a:graphicData uri="http://schemas.openxmlformats.org/drawingml/2006/picture">
                <pic:pic>
                  <pic:nvPicPr>
                    <pic:cNvPr id="0" name="eq-064.png"/>
                    <pic:cNvPicPr/>
                  </pic:nvPicPr>
                  <pic:blipFill>
                    <a:blip r:embed="rId73"/>
                    <a:stretch>
                      <a:fillRect/>
                    </a:stretch>
                  </pic:blipFill>
                  <pic:spPr>
                    <a:xfrm>
                      <a:off x="0" y="0"/>
                      <a:ext cx="929170" cy="146826"/>
                    </a:xfrm>
                    <a:prstGeom prst="rect"/>
                  </pic:spPr>
                </pic:pic>
              </a:graphicData>
            </a:graphic>
          </wp:inline>
        </w:drawing>
      </w:r>
      <w:r>
        <w:rPr>
          <w:b w:val="0"/>
          <w:i w:val="0"/>
        </w:rPr>
        <w:t xml:space="preserve">. Nuclear acceptance can exceed residual demand </w:t>
      </w:r>
      <w:r>
        <w:drawing>
          <wp:inline xmlns:a="http://schemas.openxmlformats.org/drawingml/2006/main" xmlns:pic="http://schemas.openxmlformats.org/drawingml/2006/picture">
            <wp:extent cx="1208417" cy="126971"/>
            <wp:docPr id="65" name="Picture 65"/>
            <wp:cNvGraphicFramePr>
              <a:graphicFrameLocks noChangeAspect="1"/>
            </wp:cNvGraphicFramePr>
            <a:graphic>
              <a:graphicData uri="http://schemas.openxmlformats.org/drawingml/2006/picture">
                <pic:pic>
                  <pic:nvPicPr>
                    <pic:cNvPr id="0" name="eq-065.png"/>
                    <pic:cNvPicPr/>
                  </pic:nvPicPr>
                  <pic:blipFill>
                    <a:blip r:embed="rId74"/>
                    <a:stretch>
                      <a:fillRect/>
                    </a:stretch>
                  </pic:blipFill>
                  <pic:spPr>
                    <a:xfrm>
                      <a:off x="0" y="0"/>
                      <a:ext cx="1208417" cy="126971"/>
                    </a:xfrm>
                    <a:prstGeom prst="rect"/>
                  </pic:spPr>
                </pic:pic>
              </a:graphicData>
            </a:graphic>
          </wp:inline>
        </w:drawing>
      </w:r>
      <w:r>
        <w:rPr>
          <w:b w:val="0"/>
          <w:i w:val="0"/>
        </w:rPr>
        <w:t xml:space="preserve">: when its upper limit is larger than </w:t>
      </w:r>
      <w:r>
        <w:drawing>
          <wp:inline xmlns:a="http://schemas.openxmlformats.org/drawingml/2006/main" xmlns:pic="http://schemas.openxmlformats.org/drawingml/2006/picture">
            <wp:extent cx="1208417" cy="126971"/>
            <wp:docPr id="66" name="Picture 66"/>
            <wp:cNvGraphicFramePr>
              <a:graphicFrameLocks noChangeAspect="1"/>
            </wp:cNvGraphicFramePr>
            <a:graphic>
              <a:graphicData uri="http://schemas.openxmlformats.org/drawingml/2006/picture">
                <pic:pic>
                  <pic:nvPicPr>
                    <pic:cNvPr id="0" name="eq-065.png"/>
                    <pic:cNvPicPr/>
                  </pic:nvPicPr>
                  <pic:blipFill>
                    <a:blip r:embed="rId74"/>
                    <a:stretch>
                      <a:fillRect/>
                    </a:stretch>
                  </pic:blipFill>
                  <pic:spPr>
                    <a:xfrm>
                      <a:off x="0" y="0"/>
                      <a:ext cx="1208417" cy="126971"/>
                    </a:xfrm>
                    <a:prstGeom prst="rect"/>
                  </pic:spPr>
                </pic:pic>
              </a:graphicData>
            </a:graphic>
          </wp:inline>
        </w:drawing>
      </w:r>
      <w:r>
        <w:rPr>
          <w:b w:val="0"/>
          <w:i w:val="0"/>
        </w:rPr>
        <w:t xml:space="preserve">, it supplies </w:t>
      </w:r>
      <w:r>
        <w:drawing>
          <wp:inline xmlns:a="http://schemas.openxmlformats.org/drawingml/2006/main" xmlns:pic="http://schemas.openxmlformats.org/drawingml/2006/picture">
            <wp:extent cx="4157897" cy="186207"/>
            <wp:docPr id="67" name="Picture 67"/>
            <wp:cNvGraphicFramePr>
              <a:graphicFrameLocks noChangeAspect="1"/>
            </wp:cNvGraphicFramePr>
            <a:graphic>
              <a:graphicData uri="http://schemas.openxmlformats.org/drawingml/2006/picture">
                <pic:pic>
                  <pic:nvPicPr>
                    <pic:cNvPr id="0" name="eq-067.png"/>
                    <pic:cNvPicPr/>
                  </pic:nvPicPr>
                  <pic:blipFill>
                    <a:blip r:embed="rId75"/>
                    <a:stretch>
                      <a:fillRect/>
                    </a:stretch>
                  </pic:blipFill>
                  <pic:spPr>
                    <a:xfrm>
                      <a:off x="0" y="0"/>
                      <a:ext cx="4157897" cy="186207"/>
                    </a:xfrm>
                    <a:prstGeom prst="rect"/>
                  </pic:spPr>
                </pic:pic>
              </a:graphicData>
            </a:graphic>
          </wp:inline>
        </w:drawing>
      </w:r>
      <w:r>
        <w:rPr>
          <w:b w:val="0"/>
          <w:i w:val="0"/>
        </w:rPr>
        <w:t>. This excess becomes already-generated, inflexible surplus. Renewable availability above accepted demand is retained as available surplus.</w:t>
      </w:r>
    </w:p>
    <w:p>
      <w:r>
        <w:rPr>
          <w:b w:val="0"/>
          <w:i w:val="0"/>
        </w:rPr>
        <w:t xml:space="preserve">Interconnectors offer positive available import capacity into the ahead market at the external price multiplied by </w:t>
      </w:r>
      <w:r>
        <w:drawing>
          <wp:inline xmlns:a="http://schemas.openxmlformats.org/drawingml/2006/main" xmlns:pic="http://schemas.openxmlformats.org/drawingml/2006/picture">
            <wp:extent cx="1042650" cy="151140"/>
            <wp:docPr id="68" name="Picture 68"/>
            <wp:cNvGraphicFramePr>
              <a:graphicFrameLocks noChangeAspect="1"/>
            </wp:cNvGraphicFramePr>
            <a:graphic>
              <a:graphicData uri="http://schemas.openxmlformats.org/drawingml/2006/picture">
                <pic:pic>
                  <pic:nvPicPr>
                    <pic:cNvPr id="0" name="eq-037.png"/>
                    <pic:cNvPicPr/>
                  </pic:nvPicPr>
                  <pic:blipFill>
                    <a:blip r:embed="rId47"/>
                    <a:stretch>
                      <a:fillRect/>
                    </a:stretch>
                  </pic:blipFill>
                  <pic:spPr>
                    <a:xfrm>
                      <a:off x="0" y="0"/>
                      <a:ext cx="1042650" cy="151140"/>
                    </a:xfrm>
                    <a:prstGeom prst="rect"/>
                  </pic:spPr>
                </pic:pic>
              </a:graphicData>
            </a:graphic>
          </wp:inline>
        </w:drawing>
      </w:r>
      <w:r>
        <w:rPr>
          <w:b w:val="0"/>
          <w:i w:val="0"/>
        </w:rPr>
        <w:t xml:space="preserve">. Their offers carry capacity limits with zero ramp and start-up adders. Balancing offers only </w:t>
      </w:r>
      <w:r>
        <w:drawing>
          <wp:inline xmlns:a="http://schemas.openxmlformats.org/drawingml/2006/main" xmlns:pic="http://schemas.openxmlformats.org/drawingml/2006/picture">
            <wp:extent cx="3422535" cy="184054"/>
            <wp:docPr id="69" name="Picture 69"/>
            <wp:cNvGraphicFramePr>
              <a:graphicFrameLocks noChangeAspect="1"/>
            </wp:cNvGraphicFramePr>
            <a:graphic>
              <a:graphicData uri="http://schemas.openxmlformats.org/drawingml/2006/picture">
                <pic:pic>
                  <pic:nvPicPr>
                    <pic:cNvPr id="0" name="eq-069.png"/>
                    <pic:cNvPicPr/>
                  </pic:nvPicPr>
                  <pic:blipFill>
                    <a:blip r:embed="rId76"/>
                    <a:stretch>
                      <a:fillRect/>
                    </a:stretch>
                  </pic:blipFill>
                  <pic:spPr>
                    <a:xfrm>
                      <a:off x="0" y="0"/>
                      <a:ext cx="3422535" cy="184054"/>
                    </a:xfrm>
                    <a:prstGeom prst="rect"/>
                  </pic:spPr>
                </pic:pic>
              </a:graphicData>
            </a:graphic>
          </wp:inline>
        </w:drawing>
      </w:r>
      <w:r>
        <w:rPr>
          <w:b w:val="0"/>
          <w:i w:val="0"/>
        </w:rPr>
        <w:t>. Negative transfer capacity represents export capability, accepted at positive external prices.</w:t>
      </w:r>
    </w:p>
    <w:p>
      <w:r>
        <w:rPr>
          <w:b w:val="0"/>
          <w:i w:val="0"/>
        </w:rPr>
        <w:t xml:space="preserve">Surplus accounting rebuilds renewable surplus from availability minus accepted output after the ahead stage. Already-generated nuclear surplus is used first. When renewable surplus supplies storage, exports or flexible demand, it enters gross renewable generation. Recorded </w:t>
      </w:r>
      <w:r>
        <w:rPr>
          <w:rFonts w:ascii="DejaVu Sans Mono" w:hAnsi="DejaVu Sans Mono"/>
          <w:b w:val="0"/>
          <w:i w:val="0"/>
          <w:sz w:val="17"/>
        </w:rPr>
        <w:t>vre_accepted</w:t>
      </w:r>
      <w:r>
        <w:rPr>
          <w:b w:val="0"/>
          <w:i w:val="0"/>
        </w:rPr>
        <w:t xml:space="preserve"> is therefore gross VRE output, </w:t>
      </w:r>
      <w:r>
        <w:rPr>
          <w:rFonts w:ascii="DejaVu Sans Mono" w:hAnsi="DejaVu Sans Mono"/>
          <w:b w:val="0"/>
          <w:i w:val="0"/>
          <w:sz w:val="17"/>
        </w:rPr>
        <w:t>curtailed</w:t>
      </w:r>
      <w:r>
        <w:rPr>
          <w:b w:val="0"/>
          <w:i w:val="0"/>
        </w:rPr>
        <w:t xml:space="preserve"> is available VRE minus gross output, and </w:t>
      </w:r>
      <w:r>
        <w:rPr>
          <w:rFonts w:ascii="DejaVu Sans Mono" w:hAnsi="DejaVu Sans Mono"/>
          <w:b w:val="0"/>
          <w:i w:val="0"/>
          <w:sz w:val="17"/>
        </w:rPr>
        <w:t>excess</w:t>
      </w:r>
      <w:r>
        <w:rPr>
          <w:b w:val="0"/>
          <w:i w:val="0"/>
        </w:rPr>
        <w:t xml:space="preserve"> is non-VRE spill. Nuclear surplus already included in ahead supply and settlement serves balancing demand once; renewable surplus entering supply during balancing receives balancing settlement.</w:t>
      </w:r>
    </w:p>
    <w:p>
      <w:r>
        <w:rPr>
          <w:b w:val="0"/>
          <w:i w:val="0"/>
        </w:rPr>
        <w:t xml:space="preserve">Ahead clearing accepts successive offers until residual forecast demand reaches zero or all offers are exhausted. An ahead period with no accepted nuclear generator multiplies nuclear </w:t>
      </w:r>
      <w:r>
        <w:rPr>
          <w:rFonts w:ascii="DejaVu Sans Mono" w:hAnsi="DejaVu Sans Mono"/>
          <w:b w:val="0"/>
          <w:i w:val="0"/>
          <w:sz w:val="17"/>
        </w:rPr>
        <w:t>real_gen_energy</w:t>
      </w:r>
      <w:r>
        <w:rPr>
          <w:b w:val="0"/>
          <w:i w:val="0"/>
        </w:rPr>
        <w:t xml:space="preserve"> by 0.99 before balancing. At the end of realisation, each generator with zero final dispatch sets </w:t>
      </w:r>
      <w:r>
        <w:rPr>
          <w:rFonts w:ascii="DejaVu Sans Mono" w:hAnsi="DejaVu Sans Mono"/>
          <w:b w:val="0"/>
          <w:i w:val="0"/>
          <w:sz w:val="17"/>
        </w:rPr>
        <w:t>real_gen_energy</w:t>
      </w:r>
      <w:r>
        <w:rPr>
          <w:b w:val="0"/>
          <w:i w:val="0"/>
        </w:rPr>
        <w:t xml:space="preserve"> to zero; dispatched generators carry their final output into the next period.</w:t>
      </w:r>
    </w:p>
    <w:p>
      <w:r>
        <w:rPr>
          <w:b w:val="0"/>
          <w:i w:val="0"/>
        </w:rPr>
        <w:t xml:space="preserve">The real-time branch compares actual and forecast demand. A lower actual value invokes surplus absorption and downward dispatch; a higher or equal value invokes upward balancing. This comparison also applies when ahead supply falls short of the forecast. In that case, the lower-demand branch still requests a reduction of </w:t>
      </w:r>
      <w:r>
        <w:drawing>
          <wp:inline xmlns:a="http://schemas.openxmlformats.org/drawingml/2006/main" xmlns:pic="http://schemas.openxmlformats.org/drawingml/2006/picture">
            <wp:extent cx="2440568" cy="142403"/>
            <wp:docPr id="70" name="Picture 70"/>
            <wp:cNvGraphicFramePr>
              <a:graphicFrameLocks noChangeAspect="1"/>
            </wp:cNvGraphicFramePr>
            <a:graphic>
              <a:graphicData uri="http://schemas.openxmlformats.org/drawingml/2006/picture">
                <pic:pic>
                  <pic:nvPicPr>
                    <pic:cNvPr id="0" name="eq-070.png"/>
                    <pic:cNvPicPr/>
                  </pic:nvPicPr>
                  <pic:blipFill>
                    <a:blip r:embed="rId77"/>
                    <a:stretch>
                      <a:fillRect/>
                    </a:stretch>
                  </pic:blipFill>
                  <pic:spPr>
                    <a:xfrm>
                      <a:off x="0" y="0"/>
                      <a:ext cx="2440568" cy="142403"/>
                    </a:xfrm>
                    <a:prstGeom prst="rect"/>
                  </pic:spPr>
                </pic:pic>
              </a:graphicData>
            </a:graphic>
          </wp:inline>
        </w:drawing>
      </w:r>
      <w:r>
        <w:rPr>
          <w:b w:val="0"/>
          <w:i w:val="0"/>
        </w:rPr>
        <w:t>; any remaining unmet demand enters the energy account below.</w:t>
      </w:r>
    </w:p>
    <w:p>
      <w:pPr>
        <w:keepLines/>
        <w:spacing w:line="276" w:lineRule="auto" w:after="160"/>
      </w:pPr>
      <w:r>
        <w:rPr>
          <w:rFonts w:ascii="DejaVu Sans Mono" w:hAnsi="DejaVu Sans Mono"/>
          <w:b w:val="0"/>
          <w:i w:val="0"/>
          <w:sz w:val="17"/>
        </w:rPr>
        <w:t>accepted_bids = initial_​running_​rows(generators)</w:t>
        <w:br/>
        <w:t>for period in range(periods):</w:t>
        <w:br/>
        <w:t xml:space="preserve">    Read availability, forecast_​demands[period], real_demands[period]</w:t>
        <w:br/>
        <w:t xml:space="preserve">    Read period external_price and transfer_constraint</w:t>
        <w:br/>
        <w:t xml:space="preserve">    ahead_​market_​bidding(...):</w:t>
        <w:br/>
        <w:t xml:space="preserve">        Add add_energy to each hydro/biomass energy_limit</w:t>
        <w:br/>
        <w:t xml:space="preserve">        Apply storage self-discharge; construct offers</w:t>
        <w:br/>
        <w:t xml:space="preserve">        Sort by merit_key; accept forecast demand subject to physical bounds</w:t>
        <w:br/>
        <w:t xml:space="preserve">        rebuild_surplus(...); uniform_income(...)</w:t>
        <w:br/>
        <w:t xml:space="preserve">    realise_period(...):</w:t>
        <w:br/>
        <w:t xml:space="preserve">        if real_demand &lt; forecast_demand:</w:t>
        <w:br/>
        <w:t xml:space="preserve">            curtailment_​market_​bidding(...):</w:t>
        <w:br/>
        <w:t xml:space="preserve">                Buy back discharge, charge, export, supply electrolysis</w:t>
        <w:br/>
        <w:t xml:space="preserve">                economic_​downward_​stack(...): reduce remaining output</w:t>
        <w:br/>
        <w:t xml:space="preserve">        else:</w:t>
        <w:br/>
        <w:t xml:space="preserve">            balancing_​market_​bidding(...):</w:t>
        <w:br/>
        <w:t xml:space="preserve">                Use surplus; buy back discharge and charge</w:t>
        <w:br/>
        <w:t xml:space="preserve">                Offer eligible batches, generation and residual imports</w:t>
        <w:br/>
        <w:t xml:space="preserve">                Export remaining surplus and supply electrolysis</w:t>
        <w:br/>
        <w:t xml:space="preserve">                Clear upward demand; record remaining blackout</w:t>
        <w:br/>
        <w:t xml:space="preserve">        Set real_gen_energy to zero for generators with zero final output</w:t>
        <w:br/>
        <w:t xml:space="preserve">    battery.close_​period(period) for each battery</w:t>
        <w:br/>
        <w:t xml:space="preserve">    physical_​cost_​terms(...): record period expenditure components</w:t>
        <w:br/>
        <w:t>return period dispatch, prices, income, inventory and annual totals</w:t>
        <w:br/>
      </w:r>
    </w:p>
    <w:p>
      <w:r>
        <w:rPr>
          <w:b w:val="0"/>
          <w:i w:val="0"/>
        </w:rPr>
        <w:t xml:space="preserve">Surplus absorption visits storage in ascending order of </w:t>
      </w:r>
      <w:r>
        <w:rPr>
          <w:rFonts w:ascii="DejaVu Sans Mono" w:hAnsi="DejaVu Sans Mono"/>
          <w:b w:val="0"/>
          <w:i w:val="0"/>
          <w:sz w:val="17"/>
        </w:rPr>
        <w:t>storage_fee</w:t>
      </w:r>
      <w:r>
        <w:rPr>
          <w:b w:val="0"/>
          <w:i w:val="0"/>
        </w:rPr>
        <w:t xml:space="preserve">, </w:t>
      </w:r>
      <w:r>
        <w:rPr>
          <w:rFonts w:ascii="DejaVu Sans Mono" w:hAnsi="DejaVu Sans Mono"/>
          <w:b w:val="0"/>
          <w:i w:val="0"/>
          <w:sz w:val="17"/>
        </w:rPr>
        <w:t>per_storage_fee</w:t>
      </w:r>
      <w:r>
        <w:rPr>
          <w:b w:val="0"/>
          <w:i w:val="0"/>
        </w:rPr>
        <w:t xml:space="preserve"> and </w:t>
      </w:r>
      <w:r>
        <w:rPr>
          <w:rFonts w:ascii="DejaVu Sans Mono" w:hAnsi="DejaVu Sans Mono"/>
          <w:b w:val="0"/>
          <w:i w:val="0"/>
          <w:sz w:val="17"/>
        </w:rPr>
        <w:t>n_1 * n_2</w:t>
      </w:r>
      <w:r>
        <w:rPr>
          <w:b w:val="0"/>
          <w:i w:val="0"/>
        </w:rPr>
        <w:t xml:space="preserve"> in the lower-demand branch, and in input order in upward balancing. Within each store it buys back current-period discharge before charging. Positive-price exports follow descending external price in the lower-demand branch and ascending external price in upward balancing, each bounded by the absolute negative </w:t>
      </w:r>
      <w:r>
        <w:rPr>
          <w:rFonts w:ascii="DejaVu Sans Mono" w:hAnsi="DejaVu Sans Mono"/>
          <w:b w:val="0"/>
          <w:i w:val="0"/>
          <w:sz w:val="17"/>
        </w:rPr>
        <w:t>transfer_constraint</w:t>
      </w:r>
      <w:r>
        <w:rPr>
          <w:b w:val="0"/>
          <w:i w:val="0"/>
        </w:rPr>
        <w:t>.</w:t>
      </w:r>
    </w:p>
    <w:p>
      <w:r>
        <w:rPr>
          <w:b w:val="0"/>
          <w:i w:val="0"/>
        </w:rPr>
        <w:t xml:space="preserve">Upward clearing starts from the last ahead-accepted generator and includes later generator offers, storage batches at least two periods old, and unused import capacity. For that marginal generator, </w:t>
      </w:r>
      <w:r>
        <w:rPr>
          <w:rFonts w:ascii="DejaVu Sans Mono" w:hAnsi="DejaVu Sans Mono"/>
          <w:b w:val="0"/>
          <w:i w:val="0"/>
          <w:sz w:val="17"/>
        </w:rPr>
        <w:t>valid_energy</w:t>
      </w:r>
      <w:r>
        <w:rPr>
          <w:b w:val="0"/>
          <w:i w:val="0"/>
        </w:rPr>
        <w:t xml:space="preserve"> is its current ramp-limited output bound less ahead-accepted MW; later generators use their full ramp-limited bounds. Hydro and biomass also retain their remaining budgets. Each accepted quantity reduces </w:t>
      </w:r>
      <w:r>
        <w:rPr>
          <w:rFonts w:ascii="DejaVu Sans Mono" w:hAnsi="DejaVu Sans Mono"/>
          <w:b w:val="0"/>
          <w:i w:val="0"/>
          <w:sz w:val="17"/>
        </w:rPr>
        <w:t>energy_provided</w:t>
      </w:r>
      <w:r>
        <w:rPr>
          <w:b w:val="0"/>
          <w:i w:val="0"/>
        </w:rPr>
        <w:t xml:space="preserve">, initially </w:t>
      </w:r>
      <w:r>
        <w:rPr>
          <w:rFonts w:ascii="DejaVu Sans Mono" w:hAnsi="DejaVu Sans Mono"/>
          <w:b w:val="0"/>
          <w:i w:val="0"/>
          <w:sz w:val="17"/>
        </w:rPr>
        <w:t>real_demand - forecast_demand</w:t>
      </w:r>
      <w:r>
        <w:rPr>
          <w:b w:val="0"/>
          <w:i w:val="0"/>
        </w:rPr>
        <w:t xml:space="preserve">; clearing ends at zero or after the final offer, and the remaining quantity becomes </w:t>
      </w:r>
      <w:r>
        <w:rPr>
          <w:rFonts w:ascii="DejaVu Sans Mono" w:hAnsi="DejaVu Sans Mono"/>
          <w:b w:val="0"/>
          <w:i w:val="0"/>
          <w:sz w:val="17"/>
        </w:rPr>
        <w:t>blackout</w:t>
      </w:r>
      <w:r>
        <w:rPr>
          <w:b w:val="0"/>
          <w:i w:val="0"/>
        </w:rPr>
        <w:t>.</w:t>
      </w:r>
    </w:p>
    <w:p>
      <w:r>
        <w:rPr>
          <w:b w:val="0"/>
          <w:i w:val="0"/>
        </w:rPr>
        <w:t xml:space="preserve">The common electrolyser absorbs surplus as flexible demand. Its source parameters are 10 MW capacity, a 0.125 MW-per-period ramp and conversion efficiency 0.65; the data-pack parameter row supplies the selected values. Available wind and solar enter market clearing first, followed by surplus allocation to storage, exports and electrolysis. The electrolyser limit for this period is </w:t>
      </w:r>
      <w:r>
        <w:rPr>
          <w:rFonts w:ascii="DejaVu Sans Mono" w:hAnsi="DejaVu Sans Mono"/>
          <w:b w:val="0"/>
          <w:i w:val="0"/>
          <w:sz w:val="17"/>
        </w:rPr>
        <w:t>energy_cell = min(real_energy + rampup_rate, capacity_limit)</w:t>
      </w:r>
      <w:r>
        <w:rPr>
          <w:b w:val="0"/>
          <w:i w:val="0"/>
        </w:rPr>
        <w:t xml:space="preserve">, in MW. Its accepted </w:t>
      </w:r>
      <w:r>
        <w:rPr>
          <w:rFonts w:ascii="DejaVu Sans Mono" w:hAnsi="DejaVu Sans Mono"/>
          <w:b w:val="0"/>
          <w:i w:val="0"/>
          <w:sz w:val="17"/>
        </w:rPr>
        <w:t>min_value</w:t>
      </w:r>
      <w:r>
        <w:rPr>
          <w:b w:val="0"/>
          <w:i w:val="0"/>
        </w:rPr>
        <w:t xml:space="preserve"> is the smaller of this limit and remaining surplus: </w:t>
      </w:r>
      <w:r>
        <w:rPr>
          <w:rFonts w:ascii="DejaVu Sans Mono" w:hAnsi="DejaVu Sans Mono"/>
          <w:b w:val="0"/>
          <w:i w:val="0"/>
          <w:sz w:val="17"/>
        </w:rPr>
        <w:t>excess_energy + need_curtailed_energy</w:t>
      </w:r>
      <w:r>
        <w:rPr>
          <w:b w:val="0"/>
          <w:i w:val="0"/>
        </w:rPr>
        <w:t xml:space="preserve"> in the lower-demand branch, or </w:t>
      </w:r>
      <w:r>
        <w:rPr>
          <w:rFonts w:ascii="DejaVu Sans Mono" w:hAnsi="DejaVu Sans Mono"/>
          <w:b w:val="0"/>
          <w:i w:val="0"/>
          <w:sz w:val="17"/>
        </w:rPr>
        <w:t>excess_energy</w:t>
      </w:r>
      <w:r>
        <w:rPr>
          <w:b w:val="0"/>
          <w:i w:val="0"/>
        </w:rPr>
        <w:t xml:space="preserve"> in upward balancing. It updates </w:t>
      </w:r>
      <w:r>
        <w:rPr>
          <w:rFonts w:ascii="DejaVu Sans Mono" w:hAnsi="DejaVu Sans Mono"/>
          <w:b w:val="0"/>
          <w:i w:val="0"/>
          <w:sz w:val="17"/>
        </w:rPr>
        <w:t>real_energy = min_value</w:t>
      </w:r>
      <w:r>
        <w:rPr>
          <w:b w:val="0"/>
          <w:i w:val="0"/>
        </w:rPr>
        <w:t xml:space="preserve"> and </w:t>
      </w:r>
      <w:r>
        <w:rPr>
          <w:rFonts w:ascii="DejaVu Sans Mono" w:hAnsi="DejaVu Sans Mono"/>
          <w:b w:val="0"/>
          <w:i w:val="0"/>
          <w:sz w:val="17"/>
        </w:rPr>
        <w:t>green_hy = min_value * energy_efficiency</w:t>
      </w:r>
      <w:r>
        <w:rPr>
          <w:b w:val="0"/>
          <w:i w:val="0"/>
        </w:rPr>
        <w:t>.</w:t>
      </w:r>
    </w:p>
    <w:p>
      <w:pPr>
        <w:pStyle w:val="Heading2"/>
      </w:pPr>
      <w:r>
        <w:rPr>
          <w:b w:val="0"/>
          <w:i w:val="0"/>
        </w:rPr>
        <w:t>Economic downward order</w:t>
      </w:r>
    </w:p>
    <w:p>
      <w:r>
        <w:rPr>
          <w:b w:val="0"/>
          <w:i w:val="0"/>
        </w:rPr>
        <w:t xml:space="preserve">Downward dispatch compares avoided operating expenditure after storage, exports and flexible demand absorb surplus. </w:t>
      </w:r>
      <w:r>
        <w:rPr>
          <w:rFonts w:ascii="DejaVu Sans Mono" w:hAnsi="DejaVu Sans Mono"/>
          <w:b w:val="0"/>
          <w:i w:val="0"/>
          <w:sz w:val="17"/>
        </w:rPr>
        <w:t>ramp_floor_mw</w:t>
      </w:r>
      <w:r>
        <w:rPr>
          <w:b w:val="0"/>
          <w:i w:val="0"/>
        </w:rPr>
        <w:t xml:space="preserve"> returns the larger of zero and previous </w:t>
      </w:r>
      <w:r>
        <w:rPr>
          <w:rFonts w:ascii="DejaVu Sans Mono" w:hAnsi="DejaVu Sans Mono"/>
          <w:b w:val="0"/>
          <w:i w:val="0"/>
          <w:sz w:val="17"/>
        </w:rPr>
        <w:t>real_gen_energy</w:t>
      </w:r>
      <w:r>
        <w:rPr>
          <w:b w:val="0"/>
          <w:i w:val="0"/>
        </w:rPr>
        <w:t xml:space="preserve"> less </w:t>
      </w:r>
      <w:r>
        <w:rPr>
          <w:rFonts w:ascii="DejaVu Sans Mono" w:hAnsi="DejaVu Sans Mono"/>
          <w:b w:val="0"/>
          <w:i w:val="0"/>
          <w:sz w:val="17"/>
        </w:rPr>
        <w:t>alter_limit</w:t>
      </w:r>
      <w:r>
        <w:rPr>
          <w:b w:val="0"/>
          <w:i w:val="0"/>
        </w:rPr>
        <w:t xml:space="preserve">; VRE and imports have zero floor. </w:t>
      </w:r>
      <w:r>
        <w:rPr>
          <w:rFonts w:ascii="DejaVu Sans Mono" w:hAnsi="DejaVu Sans Mono"/>
          <w:b w:val="0"/>
          <w:i w:val="0"/>
          <w:sz w:val="17"/>
        </w:rPr>
        <w:t>avoided_cost</w:t>
      </w:r>
      <w:r>
        <w:rPr>
          <w:b w:val="0"/>
          <w:i w:val="0"/>
        </w:rPr>
        <w:t xml:space="preserve"> uses the asset's composite </w:t>
      </w:r>
      <w:r>
        <w:rPr>
          <w:rFonts w:ascii="DejaVu Sans Mono" w:hAnsi="DejaVu Sans Mono"/>
          <w:b w:val="0"/>
          <w:i w:val="0"/>
          <w:sz w:val="17"/>
        </w:rPr>
        <w:t>gen_cost</w:t>
      </w:r>
      <w:r>
        <w:rPr>
          <w:b w:val="0"/>
          <w:i w:val="0"/>
        </w:rPr>
        <w:t xml:space="preserve">, subtracting </w:t>
      </w:r>
      <w:r>
        <w:rPr>
          <w:rFonts w:ascii="DejaVu Sans Mono" w:hAnsi="DejaVu Sans Mono"/>
          <w:b w:val="0"/>
          <w:i w:val="0"/>
          <w:sz w:val="17"/>
        </w:rPr>
        <w:t>NUCLEAR_​DEC_​PREMIUM_​GBP_​PER_​MWH = 100</w:t>
      </w:r>
      <w:r>
        <w:rPr>
          <w:b w:val="0"/>
          <w:i w:val="0"/>
        </w:rPr>
        <w:t xml:space="preserve"> for nuclear; imports use </w:t>
      </w:r>
      <w:r>
        <w:rPr>
          <w:rFonts w:ascii="DejaVu Sans Mono" w:hAnsi="DejaVu Sans Mono"/>
          <w:b w:val="0"/>
          <w:i w:val="0"/>
          <w:sz w:val="17"/>
        </w:rPr>
        <w:t>external_price</w:t>
      </w:r>
      <w:r>
        <w:rPr>
          <w:b w:val="0"/>
          <w:i w:val="0"/>
        </w:rPr>
        <w:t>. Ordinary rows follow descending avoided cost rounded to two decimal places.</w:t>
      </w:r>
    </w:p>
    <w:p>
      <w:pPr>
        <w:keepNext/>
      </w:pPr>
      <w:r>
        <w:rPr>
          <w:b w:val="0"/>
          <w:i w:val="0"/>
        </w:rPr>
        <w:t xml:space="preserve">Gas and biomass split their accepted ahead output </w:t>
      </w:r>
      <w:r>
        <w:drawing>
          <wp:inline xmlns:a="http://schemas.openxmlformats.org/drawingml/2006/main" xmlns:pic="http://schemas.openxmlformats.org/drawingml/2006/picture">
            <wp:extent cx="506428" cy="114001"/>
            <wp:docPr id="71" name="Picture 71"/>
            <wp:cNvGraphicFramePr>
              <a:graphicFrameLocks noChangeAspect="1"/>
            </wp:cNvGraphicFramePr>
            <a:graphic>
              <a:graphicData uri="http://schemas.openxmlformats.org/drawingml/2006/picture">
                <pic:pic>
                  <pic:nvPicPr>
                    <pic:cNvPr id="0" name="eq-071.png"/>
                    <pic:cNvPicPr/>
                  </pic:nvPicPr>
                  <pic:blipFill>
                    <a:blip r:embed="rId78"/>
                    <a:stretch>
                      <a:fillRect/>
                    </a:stretch>
                  </pic:blipFill>
                  <pic:spPr>
                    <a:xfrm>
                      <a:off x="0" y="0"/>
                      <a:ext cx="506428" cy="114001"/>
                    </a:xfrm>
                    <a:prstGeom prst="rect"/>
                  </pic:spPr>
                </pic:pic>
              </a:graphicData>
            </a:graphic>
          </wp:inline>
        </w:drawing>
      </w:r>
      <w:r>
        <w:rPr>
          <w:b w:val="0"/>
          <w:i w:val="0"/>
        </w:rPr>
        <w:t xml:space="preserve"> into a running range and a shutdown segment. Here </w:t>
      </w:r>
      <w:r>
        <w:drawing>
          <wp:inline xmlns:a="http://schemas.openxmlformats.org/drawingml/2006/main" xmlns:pic="http://schemas.openxmlformats.org/drawingml/2006/picture">
            <wp:extent cx="506428" cy="114001"/>
            <wp:docPr id="72" name="Picture 72"/>
            <wp:cNvGraphicFramePr>
              <a:graphicFrameLocks noChangeAspect="1"/>
            </wp:cNvGraphicFramePr>
            <a:graphic>
              <a:graphicData uri="http://schemas.openxmlformats.org/drawingml/2006/picture">
                <pic:pic>
                  <pic:nvPicPr>
                    <pic:cNvPr id="0" name="eq-071.png"/>
                    <pic:cNvPicPr/>
                  </pic:nvPicPr>
                  <pic:blipFill>
                    <a:blip r:embed="rId78"/>
                    <a:stretch>
                      <a:fillRect/>
                    </a:stretch>
                  </pic:blipFill>
                  <pic:spPr>
                    <a:xfrm>
                      <a:off x="0" y="0"/>
                      <a:ext cx="506428" cy="114001"/>
                    </a:xfrm>
                    <a:prstGeom prst="rect"/>
                  </pic:spPr>
                </pic:pic>
              </a:graphicData>
            </a:graphic>
          </wp:inline>
        </w:drawing>
      </w:r>
      <w:r>
        <w:rPr>
          <w:b w:val="0"/>
          <w:i w:val="0"/>
        </w:rPr>
        <w:t xml:space="preserve"> represents the aggregate's online capacity for this ordering rule, and </w:t>
      </w:r>
      <w:r>
        <w:drawing>
          <wp:inline xmlns:a="http://schemas.openxmlformats.org/drawingml/2006/main" xmlns:pic="http://schemas.openxmlformats.org/drawingml/2006/picture">
            <wp:extent cx="1494237" cy="142413"/>
            <wp:docPr id="73" name="Picture 73"/>
            <wp:cNvGraphicFramePr>
              <a:graphicFrameLocks noChangeAspect="1"/>
            </wp:cNvGraphicFramePr>
            <a:graphic>
              <a:graphicData uri="http://schemas.openxmlformats.org/drawingml/2006/picture">
                <pic:pic>
                  <pic:nvPicPr>
                    <pic:cNvPr id="0" name="eq-073.png"/>
                    <pic:cNvPicPr/>
                  </pic:nvPicPr>
                  <pic:blipFill>
                    <a:blip r:embed="rId79"/>
                    <a:stretch>
                      <a:fillRect/>
                    </a:stretch>
                  </pic:blipFill>
                  <pic:spPr>
                    <a:xfrm>
                      <a:off x="0" y="0"/>
                      <a:ext cx="1494237" cy="142413"/>
                    </a:xfrm>
                    <a:prstGeom prst="rect"/>
                  </pic:spPr>
                </pic:pic>
              </a:graphicData>
            </a:graphic>
          </wp:inline>
        </w:drawing>
      </w:r>
      <w:r>
        <w:rPr>
          <w:b w:val="0"/>
          <w:i w:val="0"/>
        </w:rPr>
        <w:t xml:space="preserve"> is the minimum stable fraction:</w:t>
      </w:r>
    </w:p>
    <w:p>
      <w:pPr>
        <w:spacing w:after="160"/>
        <w:jc w:val="center"/>
      </w:pPr>
      <w:r>
        <w:drawing>
          <wp:inline xmlns:a="http://schemas.openxmlformats.org/drawingml/2006/main" xmlns:pic="http://schemas.openxmlformats.org/drawingml/2006/picture">
            <wp:extent cx="3599916" cy="621700"/>
            <wp:docPr id="74" name="Picture 74"/>
            <wp:cNvGraphicFramePr>
              <a:graphicFrameLocks noChangeAspect="1"/>
            </wp:cNvGraphicFramePr>
            <a:graphic>
              <a:graphicData uri="http://schemas.openxmlformats.org/drawingml/2006/picture">
                <pic:pic>
                  <pic:nvPicPr>
                    <pic:cNvPr id="0" name="eq-074.png"/>
                    <pic:cNvPicPr/>
                  </pic:nvPicPr>
                  <pic:blipFill>
                    <a:blip r:embed="rId80"/>
                    <a:stretch>
                      <a:fillRect/>
                    </a:stretch>
                  </pic:blipFill>
                  <pic:spPr>
                    <a:xfrm>
                      <a:off x="0" y="0"/>
                      <a:ext cx="3599916" cy="621700"/>
                    </a:xfrm>
                    <a:prstGeom prst="rect"/>
                  </pic:spPr>
                </pic:pic>
              </a:graphicData>
            </a:graphic>
          </wp:inline>
        </w:drawing>
      </w:r>
    </w:p>
    <w:p>
      <w:pPr>
        <w:keepNext/>
      </w:pPr>
      <w:r>
        <w:rPr>
          <w:b w:val="0"/>
          <w:i w:val="0"/>
        </w:rPr>
        <w:t xml:space="preserve">The running segment avoids </w:t>
      </w:r>
      <w:r>
        <w:drawing>
          <wp:inline xmlns:a="http://schemas.openxmlformats.org/drawingml/2006/main" xmlns:pic="http://schemas.openxmlformats.org/drawingml/2006/picture">
            <wp:extent cx="359940" cy="127296"/>
            <wp:docPr id="75" name="Picture 75"/>
            <wp:cNvGraphicFramePr>
              <a:graphicFrameLocks noChangeAspect="1"/>
            </wp:cNvGraphicFramePr>
            <a:graphic>
              <a:graphicData uri="http://schemas.openxmlformats.org/drawingml/2006/picture">
                <pic:pic>
                  <pic:nvPicPr>
                    <pic:cNvPr id="0" name="eq-075.png"/>
                    <pic:cNvPicPr/>
                  </pic:nvPicPr>
                  <pic:blipFill>
                    <a:blip r:embed="rId81"/>
                    <a:stretch>
                      <a:fillRect/>
                    </a:stretch>
                  </pic:blipFill>
                  <pic:spPr>
                    <a:xfrm>
                      <a:off x="0" y="0"/>
                      <a:ext cx="359940" cy="127296"/>
                    </a:xfrm>
                    <a:prstGeom prst="rect"/>
                  </pic:spPr>
                </pic:pic>
              </a:graphicData>
            </a:graphic>
          </wp:inline>
        </w:drawing>
      </w:r>
      <w:r>
        <w:rPr>
          <w:b w:val="0"/>
          <w:i w:val="0"/>
        </w:rPr>
        <w:t xml:space="preserve"> £/MWh. The shutdown segment compares avoided expenditure over expected downtime </w:t>
      </w:r>
      <w:r>
        <w:drawing>
          <wp:inline xmlns:a="http://schemas.openxmlformats.org/drawingml/2006/main" xmlns:pic="http://schemas.openxmlformats.org/drawingml/2006/picture">
            <wp:extent cx="707466" cy="124847"/>
            <wp:docPr id="76" name="Picture 76"/>
            <wp:cNvGraphicFramePr>
              <a:graphicFrameLocks noChangeAspect="1"/>
            </wp:cNvGraphicFramePr>
            <a:graphic>
              <a:graphicData uri="http://schemas.openxmlformats.org/drawingml/2006/picture">
                <pic:pic>
                  <pic:nvPicPr>
                    <pic:cNvPr id="0" name="eq-076.png"/>
                    <pic:cNvPicPr/>
                  </pic:nvPicPr>
                  <pic:blipFill>
                    <a:blip r:embed="rId82"/>
                    <a:stretch>
                      <a:fillRect/>
                    </a:stretch>
                  </pic:blipFill>
                  <pic:spPr>
                    <a:xfrm>
                      <a:off x="0" y="0"/>
                      <a:ext cx="707466" cy="124847"/>
                    </a:xfrm>
                    <a:prstGeom prst="rect"/>
                  </pic:spPr>
                </pic:pic>
              </a:graphicData>
            </a:graphic>
          </wp:inline>
        </w:drawing>
      </w:r>
      <w:r>
        <w:rPr>
          <w:b w:val="0"/>
          <w:i w:val="0"/>
        </w:rPr>
        <w:t xml:space="preserve"> with restart expenditure </w:t>
      </w:r>
      <w:r>
        <w:drawing>
          <wp:inline xmlns:a="http://schemas.openxmlformats.org/drawingml/2006/main" xmlns:pic="http://schemas.openxmlformats.org/drawingml/2006/picture">
            <wp:extent cx="1683080" cy="164363"/>
            <wp:docPr id="77" name="Picture 77"/>
            <wp:cNvGraphicFramePr>
              <a:graphicFrameLocks noChangeAspect="1"/>
            </wp:cNvGraphicFramePr>
            <a:graphic>
              <a:graphicData uri="http://schemas.openxmlformats.org/drawingml/2006/picture">
                <pic:pic>
                  <pic:nvPicPr>
                    <pic:cNvPr id="0" name="eq-077.png"/>
                    <pic:cNvPicPr/>
                  </pic:nvPicPr>
                  <pic:blipFill>
                    <a:blip r:embed="rId83"/>
                    <a:stretch>
                      <a:fillRect/>
                    </a:stretch>
                  </pic:blipFill>
                  <pic:spPr>
                    <a:xfrm>
                      <a:off x="0" y="0"/>
                      <a:ext cx="1683080" cy="164363"/>
                    </a:xfrm>
                    <a:prstGeom prst="rect"/>
                  </pic:spPr>
                </pic:pic>
              </a:graphicData>
            </a:graphic>
          </wp:inline>
        </w:drawing>
      </w:r>
      <w:r>
        <w:rPr>
          <w:b w:val="0"/>
          <w:i w:val="0"/>
        </w:rPr>
        <w:t>, measured per MW of capacity per start:</w:t>
      </w:r>
    </w:p>
    <w:p>
      <w:pPr>
        <w:spacing w:after="160"/>
        <w:jc w:val="center"/>
      </w:pPr>
      <w:r>
        <w:drawing>
          <wp:inline xmlns:a="http://schemas.openxmlformats.org/drawingml/2006/main" xmlns:pic="http://schemas.openxmlformats.org/drawingml/2006/picture">
            <wp:extent cx="5253837" cy="605860"/>
            <wp:docPr id="78" name="Picture 78"/>
            <wp:cNvGraphicFramePr>
              <a:graphicFrameLocks noChangeAspect="1"/>
            </wp:cNvGraphicFramePr>
            <a:graphic>
              <a:graphicData uri="http://schemas.openxmlformats.org/drawingml/2006/picture">
                <pic:pic>
                  <pic:nvPicPr>
                    <pic:cNvPr id="0" name="eq-078.png"/>
                    <pic:cNvPicPr/>
                  </pic:nvPicPr>
                  <pic:blipFill>
                    <a:blip r:embed="rId84"/>
                    <a:stretch>
                      <a:fillRect/>
                    </a:stretch>
                  </pic:blipFill>
                  <pic:spPr>
                    <a:xfrm>
                      <a:off x="0" y="0"/>
                      <a:ext cx="5253837" cy="605860"/>
                    </a:xfrm>
                    <a:prstGeom prst="rect"/>
                  </pic:spPr>
                </pic:pic>
              </a:graphicData>
            </a:graphic>
          </wp:inline>
        </w:drawing>
      </w:r>
    </w:p>
    <w:p>
      <w:r>
        <w:rPr>
          <w:rFonts w:ascii="DejaVu Sans Mono" w:hAnsi="DejaVu Sans Mono"/>
          <w:b w:val="0"/>
          <w:i w:val="0"/>
          <w:sz w:val="17"/>
        </w:rPr>
        <w:t>SurplusOutlook.run_​after</w:t>
      </w:r>
      <w:r>
        <w:rPr>
          <w:b w:val="0"/>
          <w:i w:val="0"/>
        </w:rPr>
        <w:t xml:space="preserve"> counts consecutive periods after the current one with forecast demand no greater than forecast wind, solar and nuclear availability. The current downward period adds one period. Without injected availability arrays, </w:t>
      </w:r>
      <w:r>
        <w:rPr>
          <w:rFonts w:ascii="DejaVu Sans Mono" w:hAnsi="DejaVu Sans Mono"/>
          <w:b w:val="0"/>
          <w:i w:val="0"/>
          <w:sz w:val="17"/>
        </w:rPr>
        <w:t>horizon_h = 0.5</w:t>
      </w:r>
      <w:r>
        <w:rPr>
          <w:b w:val="0"/>
          <w:i w:val="0"/>
        </w:rPr>
        <w:t xml:space="preserve"> h. Removing one MW at the stable fraction shuts </w:t>
      </w:r>
      <w:r>
        <w:rPr>
          <w:rFonts w:ascii="DejaVu Sans Mono" w:hAnsi="DejaVu Sans Mono"/>
          <w:b w:val="0"/>
          <w:i w:val="0"/>
          <w:sz w:val="17"/>
        </w:rPr>
        <w:t>1 / min_stable_fraction</w:t>
      </w:r>
      <w:r>
        <w:rPr>
          <w:b w:val="0"/>
          <w:i w:val="0"/>
        </w:rPr>
        <w:t xml:space="preserve"> MW of capacity; the restart comparison divides restart cost by that fraction and by the expected downtime.</w:t>
      </w:r>
    </w:p>
    <w:p>
      <w:r>
        <w:rPr>
          <w:b w:val="0"/>
          <w:i w:val="0"/>
        </w:rPr>
        <w:t xml:space="preserve">A shutdown segment with </w:t>
      </w:r>
      <w:r>
        <w:drawing>
          <wp:inline xmlns:a="http://schemas.openxmlformats.org/drawingml/2006/main" xmlns:pic="http://schemas.openxmlformats.org/drawingml/2006/picture">
            <wp:extent cx="2324239" cy="140199"/>
            <wp:docPr id="79" name="Picture 79"/>
            <wp:cNvGraphicFramePr>
              <a:graphicFrameLocks noChangeAspect="1"/>
            </wp:cNvGraphicFramePr>
            <a:graphic>
              <a:graphicData uri="http://schemas.openxmlformats.org/drawingml/2006/picture">
                <pic:pic>
                  <pic:nvPicPr>
                    <pic:cNvPr id="0" name="eq-079.png"/>
                    <pic:cNvPicPr/>
                  </pic:nvPicPr>
                  <pic:blipFill>
                    <a:blip r:embed="rId85"/>
                    <a:stretch>
                      <a:fillRect/>
                    </a:stretch>
                  </pic:blipFill>
                  <pic:spPr>
                    <a:xfrm>
                      <a:off x="0" y="0"/>
                      <a:ext cx="2324239" cy="140199"/>
                    </a:xfrm>
                    <a:prstGeom prst="rect"/>
                  </pic:spPr>
                </pic:pic>
              </a:graphicData>
            </a:graphic>
          </wp:inline>
        </w:drawing>
      </w:r>
      <w:r>
        <w:rPr>
          <w:b w:val="0"/>
          <w:i w:val="0"/>
        </w:rPr>
        <w:t xml:space="preserve"> enters the same descending net-saving order as other resources. Positive </w:t>
      </w:r>
      <w:r>
        <w:drawing>
          <wp:inline xmlns:a="http://schemas.openxmlformats.org/drawingml/2006/main" xmlns:pic="http://schemas.openxmlformats.org/drawingml/2006/picture">
            <wp:extent cx="529942" cy="151099"/>
            <wp:docPr id="80" name="Picture 80"/>
            <wp:cNvGraphicFramePr>
              <a:graphicFrameLocks noChangeAspect="1"/>
            </wp:cNvGraphicFramePr>
            <a:graphic>
              <a:graphicData uri="http://schemas.openxmlformats.org/drawingml/2006/picture">
                <pic:pic>
                  <pic:nvPicPr>
                    <pic:cNvPr id="0" name="eq-080.png"/>
                    <pic:cNvPicPr/>
                  </pic:nvPicPr>
                  <pic:blipFill>
                    <a:blip r:embed="rId86"/>
                    <a:stretch>
                      <a:fillRect/>
                    </a:stretch>
                  </pic:blipFill>
                  <pic:spPr>
                    <a:xfrm>
                      <a:off x="0" y="0"/>
                      <a:ext cx="529942" cy="151099"/>
                    </a:xfrm>
                    <a:prstGeom prst="rect"/>
                  </pic:spPr>
                </pic:pic>
              </a:graphicData>
            </a:graphic>
          </wp:inline>
        </w:drawing>
      </w:r>
      <w:r>
        <w:rPr>
          <w:b w:val="0"/>
          <w:i w:val="0"/>
        </w:rPr>
        <w:t xml:space="preserve"> precedes zero-cost VRE; zero or negative </w:t>
      </w:r>
      <w:r>
        <w:drawing>
          <wp:inline xmlns:a="http://schemas.openxmlformats.org/drawingml/2006/main" xmlns:pic="http://schemas.openxmlformats.org/drawingml/2006/picture">
            <wp:extent cx="529942" cy="151099"/>
            <wp:docPr id="81" name="Picture 81"/>
            <wp:cNvGraphicFramePr>
              <a:graphicFrameLocks noChangeAspect="1"/>
            </wp:cNvGraphicFramePr>
            <a:graphic>
              <a:graphicData uri="http://schemas.openxmlformats.org/drawingml/2006/picture">
                <pic:pic>
                  <pic:nvPicPr>
                    <pic:cNvPr id="0" name="eq-080.png"/>
                    <pic:cNvPicPr/>
                  </pic:nvPicPr>
                  <pic:blipFill>
                    <a:blip r:embed="rId86"/>
                    <a:stretch>
                      <a:fillRect/>
                    </a:stretch>
                  </pic:blipFill>
                  <pic:spPr>
                    <a:xfrm>
                      <a:off x="0" y="0"/>
                      <a:ext cx="529942" cy="151099"/>
                    </a:xfrm>
                    <a:prstGeom prst="rect"/>
                  </pic:spPr>
                </pic:pic>
              </a:graphicData>
            </a:graphic>
          </wp:inline>
        </w:drawing>
      </w:r>
      <w:r>
        <w:rPr>
          <w:b w:val="0"/>
          <w:i w:val="0"/>
        </w:rPr>
        <w:t xml:space="preserve"> follows VRE, including ties after rounding. A segment with </w:t>
      </w:r>
      <w:r>
        <w:drawing>
          <wp:inline xmlns:a="http://schemas.openxmlformats.org/drawingml/2006/main" xmlns:pic="http://schemas.openxmlformats.org/drawingml/2006/picture">
            <wp:extent cx="2324239" cy="140199"/>
            <wp:docPr id="82" name="Picture 82"/>
            <wp:cNvGraphicFramePr>
              <a:graphicFrameLocks noChangeAspect="1"/>
            </wp:cNvGraphicFramePr>
            <a:graphic>
              <a:graphicData uri="http://schemas.openxmlformats.org/drawingml/2006/picture">
                <pic:pic>
                  <pic:nvPicPr>
                    <pic:cNvPr id="0" name="eq-082.png"/>
                    <pic:cNvPicPr/>
                  </pic:nvPicPr>
                  <pic:blipFill>
                    <a:blip r:embed="rId87"/>
                    <a:stretch>
                      <a:fillRect/>
                    </a:stretch>
                  </pic:blipFill>
                  <pic:spPr>
                    <a:xfrm>
                      <a:off x="0" y="0"/>
                      <a:ext cx="2324239" cy="140199"/>
                    </a:xfrm>
                    <a:prstGeom prst="rect"/>
                  </pic:spPr>
                </pic:pic>
              </a:graphicData>
            </a:graphic>
          </wp:inline>
        </w:drawing>
      </w:r>
      <w:r>
        <w:rPr>
          <w:b w:val="0"/>
          <w:i w:val="0"/>
        </w:rPr>
        <w:t xml:space="preserve"> follows all other reducible resources. These quantities define a continuous dispatch-ordering rule; the physical cost account uses the start-up bid adder </w:t>
      </w:r>
      <w:r>
        <w:drawing>
          <wp:inline xmlns:a="http://schemas.openxmlformats.org/drawingml/2006/main" xmlns:pic="http://schemas.openxmlformats.org/drawingml/2006/picture">
            <wp:extent cx="946696" cy="140251"/>
            <wp:docPr id="83" name="Picture 83"/>
            <wp:cNvGraphicFramePr>
              <a:graphicFrameLocks noChangeAspect="1"/>
            </wp:cNvGraphicFramePr>
            <a:graphic>
              <a:graphicData uri="http://schemas.openxmlformats.org/drawingml/2006/picture">
                <pic:pic>
                  <pic:nvPicPr>
                    <pic:cNvPr id="0" name="eq-039.png"/>
                    <pic:cNvPicPr/>
                  </pic:nvPicPr>
                  <pic:blipFill>
                    <a:blip r:embed="rId49"/>
                    <a:stretch>
                      <a:fillRect/>
                    </a:stretch>
                  </pic:blipFill>
                  <pic:spPr>
                    <a:xfrm>
                      <a:off x="0" y="0"/>
                      <a:ext cx="946696" cy="140251"/>
                    </a:xfrm>
                    <a:prstGeom prst="rect"/>
                  </pic:spPr>
                </pic:pic>
              </a:graphicData>
            </a:graphic>
          </wp:inline>
        </w:drawing>
      </w:r>
      <w:r>
        <w:rPr>
          <w:b w:val="0"/>
          <w:i w:val="0"/>
        </w:rPr>
        <w:t xml:space="preserve"> defined above.</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9"/>
        <w:gridCol w:w="3337"/>
        <w:gridCol w:w="2445"/>
        <w:gridCol w:w="2251"/>
      </w:tblGrid>
      <w:tr>
        <w:trPr>
          <w:cantSplit/>
          <w:tblHeader w:val="true"/>
        </w:trPr>
        <w:tc>
          <w:tcPr>
            <w:tcW w:type="dxa" w:w="1759"/>
            <w:vAlign w:val="center"/>
            <w:tcMar>
              <w:top w:w="90" w:type="dxa"/>
              <w:left w:w="90" w:type="dxa"/>
              <w:bottom w:w="90" w:type="dxa"/>
              <w:right w:w="90" w:type="dxa"/>
            </w:tcMar>
            <w:shd w:fill="EEEEEE"/>
          </w:tcPr>
          <w:p>
            <w:pPr>
              <w:spacing w:after="40" w:line="276" w:lineRule="auto"/>
            </w:pPr>
            <w:r>
              <w:rPr>
                <w:b/>
                <w:i w:val="0"/>
                <w:sz w:val="18"/>
              </w:rPr>
              <w:t>Technology</w:t>
            </w:r>
          </w:p>
        </w:tc>
        <w:tc>
          <w:tcPr>
            <w:tcW w:type="dxa" w:w="3337"/>
            <w:vAlign w:val="center"/>
            <w:tcMar>
              <w:top w:w="90" w:type="dxa"/>
              <w:left w:w="90" w:type="dxa"/>
              <w:bottom w:w="90" w:type="dxa"/>
              <w:right w:w="90" w:type="dxa"/>
            </w:tcMar>
            <w:shd w:fill="EEEEEE"/>
          </w:tcPr>
          <w:p>
            <w:pPr>
              <w:spacing w:after="40" w:line="276" w:lineRule="auto"/>
            </w:pPr>
            <w:r>
              <w:rPr>
                <w:b/>
                <w:i w:val="0"/>
                <w:sz w:val="18"/>
              </w:rPr>
              <w:t>Restart cost: hot / warm / cold, 2025 GBP/MW</w:t>
            </w:r>
          </w:p>
        </w:tc>
        <w:tc>
          <w:tcPr>
            <w:tcW w:type="dxa" w:w="2445"/>
            <w:vAlign w:val="center"/>
            <w:tcMar>
              <w:top w:w="90" w:type="dxa"/>
              <w:left w:w="90" w:type="dxa"/>
              <w:bottom w:w="90" w:type="dxa"/>
              <w:right w:w="90" w:type="dxa"/>
            </w:tcMar>
            <w:shd w:fill="EEEEEE"/>
          </w:tcPr>
          <w:p>
            <w:pPr>
              <w:spacing w:after="40" w:line="276" w:lineRule="auto"/>
            </w:pPr>
            <w:r>
              <w:rPr>
                <w:b/>
                <w:i w:val="0"/>
                <w:sz w:val="18"/>
              </w:rPr>
              <w:t>Minimum stable fraction</w:t>
            </w:r>
          </w:p>
        </w:tc>
        <w:tc>
          <w:tcPr>
            <w:tcW w:type="dxa" w:w="2251"/>
            <w:vAlign w:val="center"/>
            <w:tcMar>
              <w:top w:w="90" w:type="dxa"/>
              <w:left w:w="90" w:type="dxa"/>
              <w:bottom w:w="90" w:type="dxa"/>
              <w:right w:w="90" w:type="dxa"/>
            </w:tcMar>
            <w:shd w:fill="EEEEEE"/>
          </w:tcPr>
          <w:p>
            <w:pPr>
              <w:spacing w:after="40" w:line="276" w:lineRule="auto"/>
            </w:pPr>
            <w:r>
              <w:rPr>
                <w:b/>
                <w:i w:val="0"/>
                <w:sz w:val="18"/>
              </w:rPr>
              <w:t>Minimum downtime, h</w:t>
            </w:r>
          </w:p>
        </w:tc>
      </w:tr>
      <w:tr>
        <w:trPr>
          <w:cantSplit/>
        </w:trPr>
        <w:tc>
          <w:tcPr>
            <w:tcW w:type="dxa" w:w="1759"/>
            <w:vAlign w:val="center"/>
            <w:tcMar>
              <w:top w:w="90" w:type="dxa"/>
              <w:left w:w="90" w:type="dxa"/>
              <w:bottom w:w="90" w:type="dxa"/>
              <w:right w:w="90" w:type="dxa"/>
            </w:tcMar>
          </w:tcPr>
          <w:p>
            <w:pPr>
              <w:spacing w:after="40" w:line="276" w:lineRule="auto"/>
            </w:pPr>
            <w:r>
              <w:rPr>
                <w:b w:val="0"/>
                <w:i w:val="0"/>
                <w:sz w:val="18"/>
              </w:rPr>
              <w:t>CCGT</w:t>
            </w:r>
          </w:p>
        </w:tc>
        <w:tc>
          <w:tcPr>
            <w:tcW w:type="dxa" w:w="3337"/>
            <w:vAlign w:val="center"/>
            <w:tcMar>
              <w:top w:w="90" w:type="dxa"/>
              <w:left w:w="90" w:type="dxa"/>
              <w:bottom w:w="90" w:type="dxa"/>
              <w:right w:w="90" w:type="dxa"/>
            </w:tcMar>
          </w:tcPr>
          <w:p>
            <w:pPr>
              <w:spacing w:after="40" w:line="276" w:lineRule="auto"/>
            </w:pPr>
            <w:r>
              <w:rPr>
                <w:b w:val="0"/>
                <w:i w:val="0"/>
                <w:sz w:val="18"/>
              </w:rPr>
              <w:t>113.7 / 134.4 / 155.0</w:t>
            </w:r>
          </w:p>
        </w:tc>
        <w:tc>
          <w:tcPr>
            <w:tcW w:type="dxa" w:w="2445"/>
            <w:vAlign w:val="center"/>
            <w:tcMar>
              <w:top w:w="90" w:type="dxa"/>
              <w:left w:w="90" w:type="dxa"/>
              <w:bottom w:w="90" w:type="dxa"/>
              <w:right w:w="90" w:type="dxa"/>
            </w:tcMar>
          </w:tcPr>
          <w:p>
            <w:pPr>
              <w:spacing w:after="40" w:line="276" w:lineRule="auto"/>
            </w:pPr>
            <w:r>
              <w:rPr>
                <w:b w:val="0"/>
                <w:i w:val="0"/>
                <w:sz w:val="18"/>
              </w:rPr>
              <w:t>0.50</w:t>
            </w:r>
          </w:p>
        </w:tc>
        <w:tc>
          <w:tcPr>
            <w:tcW w:type="dxa" w:w="2251"/>
            <w:vAlign w:val="center"/>
            <w:tcMar>
              <w:top w:w="90" w:type="dxa"/>
              <w:left w:w="90" w:type="dxa"/>
              <w:bottom w:w="90" w:type="dxa"/>
              <w:right w:w="90" w:type="dxa"/>
            </w:tcMar>
          </w:tcPr>
          <w:p>
            <w:pPr>
              <w:spacing w:after="40" w:line="276" w:lineRule="auto"/>
            </w:pPr>
            <w:r>
              <w:rPr>
                <w:b w:val="0"/>
                <w:i w:val="0"/>
                <w:sz w:val="18"/>
              </w:rPr>
              <w:t>6</w:t>
            </w:r>
          </w:p>
        </w:tc>
      </w:tr>
      <w:tr>
        <w:trPr>
          <w:cantSplit/>
        </w:trPr>
        <w:tc>
          <w:tcPr>
            <w:tcW w:type="dxa" w:w="1759"/>
            <w:vAlign w:val="center"/>
            <w:tcMar>
              <w:top w:w="90" w:type="dxa"/>
              <w:left w:w="90" w:type="dxa"/>
              <w:bottom w:w="90" w:type="dxa"/>
              <w:right w:w="90" w:type="dxa"/>
            </w:tcMar>
          </w:tcPr>
          <w:p>
            <w:pPr>
              <w:spacing w:after="40" w:line="276" w:lineRule="auto"/>
            </w:pPr>
            <w:r>
              <w:rPr>
                <w:b w:val="0"/>
                <w:i w:val="0"/>
                <w:sz w:val="18"/>
              </w:rPr>
              <w:t>OCGT</w:t>
            </w:r>
          </w:p>
        </w:tc>
        <w:tc>
          <w:tcPr>
            <w:tcW w:type="dxa" w:w="3337"/>
            <w:vAlign w:val="center"/>
            <w:tcMar>
              <w:top w:w="90" w:type="dxa"/>
              <w:left w:w="90" w:type="dxa"/>
              <w:bottom w:w="90" w:type="dxa"/>
              <w:right w:w="90" w:type="dxa"/>
            </w:tcMar>
          </w:tcPr>
          <w:p>
            <w:pPr>
              <w:spacing w:after="40" w:line="276" w:lineRule="auto"/>
            </w:pPr>
            <w:r>
              <w:rPr>
                <w:b w:val="0"/>
                <w:i w:val="0"/>
                <w:sz w:val="18"/>
              </w:rPr>
              <w:t>175.7 / 175.7 / 175.7</w:t>
            </w:r>
          </w:p>
        </w:tc>
        <w:tc>
          <w:tcPr>
            <w:tcW w:type="dxa" w:w="2445"/>
            <w:vAlign w:val="center"/>
            <w:tcMar>
              <w:top w:w="90" w:type="dxa"/>
              <w:left w:w="90" w:type="dxa"/>
              <w:bottom w:w="90" w:type="dxa"/>
              <w:right w:w="90" w:type="dxa"/>
            </w:tcMar>
          </w:tcPr>
          <w:p>
            <w:pPr>
              <w:spacing w:after="40" w:line="276" w:lineRule="auto"/>
            </w:pPr>
            <w:r>
              <w:rPr>
                <w:b w:val="0"/>
                <w:i w:val="0"/>
                <w:sz w:val="18"/>
              </w:rPr>
              <w:t>0.50</w:t>
            </w:r>
          </w:p>
        </w:tc>
        <w:tc>
          <w:tcPr>
            <w:tcW w:type="dxa" w:w="2251"/>
            <w:vAlign w:val="center"/>
            <w:tcMar>
              <w:top w:w="90" w:type="dxa"/>
              <w:left w:w="90" w:type="dxa"/>
              <w:bottom w:w="90" w:type="dxa"/>
              <w:right w:w="90" w:type="dxa"/>
            </w:tcMar>
          </w:tcPr>
          <w:p>
            <w:pPr>
              <w:spacing w:after="40" w:line="276" w:lineRule="auto"/>
            </w:pPr>
            <w:r>
              <w:rPr>
                <w:b w:val="0"/>
                <w:i w:val="0"/>
                <w:sz w:val="18"/>
              </w:rPr>
              <w:t>0.5</w:t>
            </w:r>
          </w:p>
        </w:tc>
      </w:tr>
      <w:tr>
        <w:trPr>
          <w:cantSplit/>
        </w:trPr>
        <w:tc>
          <w:tcPr>
            <w:tcW w:type="dxa" w:w="1759"/>
            <w:vAlign w:val="center"/>
            <w:tcMar>
              <w:top w:w="90" w:type="dxa"/>
              <w:left w:w="90" w:type="dxa"/>
              <w:bottom w:w="90" w:type="dxa"/>
              <w:right w:w="90" w:type="dxa"/>
            </w:tcMar>
          </w:tcPr>
          <w:p>
            <w:pPr>
              <w:spacing w:after="40" w:line="276" w:lineRule="auto"/>
            </w:pPr>
            <w:r>
              <w:rPr>
                <w:b w:val="0"/>
                <w:i w:val="0"/>
                <w:sz w:val="18"/>
              </w:rPr>
              <w:t>Biomass</w:t>
            </w:r>
          </w:p>
        </w:tc>
        <w:tc>
          <w:tcPr>
            <w:tcW w:type="dxa" w:w="3337"/>
            <w:vAlign w:val="center"/>
            <w:tcMar>
              <w:top w:w="90" w:type="dxa"/>
              <w:left w:w="90" w:type="dxa"/>
              <w:bottom w:w="90" w:type="dxa"/>
              <w:right w:w="90" w:type="dxa"/>
            </w:tcMar>
          </w:tcPr>
          <w:p>
            <w:pPr>
              <w:spacing w:after="40" w:line="276" w:lineRule="auto"/>
            </w:pPr>
            <w:r>
              <w:rPr>
                <w:b w:val="0"/>
                <w:i w:val="0"/>
                <w:sz w:val="18"/>
              </w:rPr>
              <w:t>129.2 / 129.2 / 129.2</w:t>
            </w:r>
          </w:p>
        </w:tc>
        <w:tc>
          <w:tcPr>
            <w:tcW w:type="dxa" w:w="2445"/>
            <w:vAlign w:val="center"/>
            <w:tcMar>
              <w:top w:w="90" w:type="dxa"/>
              <w:left w:w="90" w:type="dxa"/>
              <w:bottom w:w="90" w:type="dxa"/>
              <w:right w:w="90" w:type="dxa"/>
            </w:tcMar>
          </w:tcPr>
          <w:p>
            <w:pPr>
              <w:spacing w:after="40" w:line="276" w:lineRule="auto"/>
            </w:pPr>
            <w:r>
              <w:rPr>
                <w:b w:val="0"/>
                <w:i w:val="0"/>
                <w:sz w:val="18"/>
              </w:rPr>
              <w:t>0.35</w:t>
            </w:r>
          </w:p>
        </w:tc>
        <w:tc>
          <w:tcPr>
            <w:tcW w:type="dxa" w:w="2251"/>
            <w:vAlign w:val="center"/>
            <w:tcMar>
              <w:top w:w="90" w:type="dxa"/>
              <w:left w:w="90" w:type="dxa"/>
              <w:bottom w:w="90" w:type="dxa"/>
              <w:right w:w="90" w:type="dxa"/>
            </w:tcMar>
          </w:tcPr>
          <w:p>
            <w:pPr>
              <w:spacing w:after="40" w:line="276" w:lineRule="auto"/>
            </w:pPr>
            <w:r>
              <w:rPr>
                <w:b w:val="0"/>
                <w:i w:val="0"/>
                <w:sz w:val="18"/>
              </w:rPr>
              <w:t>6</w:t>
            </w:r>
          </w:p>
        </w:tc>
      </w:tr>
    </w:tbl>
    <w:p>
      <w:pPr>
        <w:spacing w:after="20"/>
      </w:pPr>
    </w:p>
    <w:p>
      <w:r>
        <w:rPr>
          <w:b w:val="0"/>
          <w:i w:val="0"/>
        </w:rPr>
        <w:t xml:space="preserve">CCGT uses the hot value for </w:t>
      </w:r>
      <w:r>
        <w:drawing>
          <wp:inline xmlns:a="http://schemas.openxmlformats.org/drawingml/2006/main" xmlns:pic="http://schemas.openxmlformats.org/drawingml/2006/picture">
            <wp:extent cx="1092965" cy="124848"/>
            <wp:docPr id="84" name="Picture 84"/>
            <wp:cNvGraphicFramePr>
              <a:graphicFrameLocks noChangeAspect="1"/>
            </wp:cNvGraphicFramePr>
            <a:graphic>
              <a:graphicData uri="http://schemas.openxmlformats.org/drawingml/2006/picture">
                <pic:pic>
                  <pic:nvPicPr>
                    <pic:cNvPr id="0" name="eq-084.png"/>
                    <pic:cNvPicPr/>
                  </pic:nvPicPr>
                  <pic:blipFill>
                    <a:blip r:embed="rId88"/>
                    <a:stretch>
                      <a:fillRect/>
                    </a:stretch>
                  </pic:blipFill>
                  <pic:spPr>
                    <a:xfrm>
                      <a:off x="0" y="0"/>
                      <a:ext cx="1092965" cy="124848"/>
                    </a:xfrm>
                    <a:prstGeom prst="rect"/>
                  </pic:spPr>
                </pic:pic>
              </a:graphicData>
            </a:graphic>
          </wp:inline>
        </w:drawing>
      </w:r>
      <w:r>
        <w:rPr>
          <w:b w:val="0"/>
          <w:i w:val="0"/>
        </w:rPr>
        <w:t xml:space="preserve"> h, warm for </w:t>
      </w:r>
      <w:r>
        <w:drawing>
          <wp:inline xmlns:a="http://schemas.openxmlformats.org/drawingml/2006/main" xmlns:pic="http://schemas.openxmlformats.org/drawingml/2006/picture">
            <wp:extent cx="1478537" cy="137997"/>
            <wp:docPr id="85" name="Picture 85"/>
            <wp:cNvGraphicFramePr>
              <a:graphicFrameLocks noChangeAspect="1"/>
            </wp:cNvGraphicFramePr>
            <a:graphic>
              <a:graphicData uri="http://schemas.openxmlformats.org/drawingml/2006/picture">
                <pic:pic>
                  <pic:nvPicPr>
                    <pic:cNvPr id="0" name="eq-085.png"/>
                    <pic:cNvPicPr/>
                  </pic:nvPicPr>
                  <pic:blipFill>
                    <a:blip r:embed="rId89"/>
                    <a:stretch>
                      <a:fillRect/>
                    </a:stretch>
                  </pic:blipFill>
                  <pic:spPr>
                    <a:xfrm>
                      <a:off x="0" y="0"/>
                      <a:ext cx="1478537" cy="137997"/>
                    </a:xfrm>
                    <a:prstGeom prst="rect"/>
                  </pic:spPr>
                </pic:pic>
              </a:graphicData>
            </a:graphic>
          </wp:inline>
        </w:drawing>
      </w:r>
      <w:r>
        <w:rPr>
          <w:b w:val="0"/>
          <w:i w:val="0"/>
        </w:rPr>
        <w:t xml:space="preserve"> h, and cold for </w:t>
      </w:r>
      <w:r>
        <w:drawing>
          <wp:inline xmlns:a="http://schemas.openxmlformats.org/drawingml/2006/main" xmlns:pic="http://schemas.openxmlformats.org/drawingml/2006/picture">
            <wp:extent cx="1092965" cy="124848"/>
            <wp:docPr id="86" name="Picture 86"/>
            <wp:cNvGraphicFramePr>
              <a:graphicFrameLocks noChangeAspect="1"/>
            </wp:cNvGraphicFramePr>
            <a:graphic>
              <a:graphicData uri="http://schemas.openxmlformats.org/drawingml/2006/picture">
                <pic:pic>
                  <pic:nvPicPr>
                    <pic:cNvPr id="0" name="eq-086.png"/>
                    <pic:cNvPicPr/>
                  </pic:nvPicPr>
                  <pic:blipFill>
                    <a:blip r:embed="rId90"/>
                    <a:stretch>
                      <a:fillRect/>
                    </a:stretch>
                  </pic:blipFill>
                  <pic:spPr>
                    <a:xfrm>
                      <a:off x="0" y="0"/>
                      <a:ext cx="1092965" cy="124848"/>
                    </a:xfrm>
                    <a:prstGeom prst="rect"/>
                  </pic:spPr>
                </pic:pic>
              </a:graphicData>
            </a:graphic>
          </wp:inline>
        </w:drawing>
      </w:r>
      <w:r>
        <w:rPr>
          <w:b w:val="0"/>
          <w:i w:val="0"/>
        </w:rPr>
        <w:t xml:space="preserve"> h. </w:t>
      </w:r>
      <w:r>
        <w:rPr>
          <w:rFonts w:ascii="DejaVu Sans Mono" w:hAnsi="DejaVu Sans Mono"/>
          <w:b w:val="0"/>
          <w:i w:val="0"/>
          <w:sz w:val="17"/>
        </w:rPr>
        <w:t>value_​thermal_​restart_​v1.json</w:t>
      </w:r>
      <w:r>
        <w:rPr>
          <w:b w:val="0"/>
          <w:i w:val="0"/>
        </w:rPr>
        <w:t xml:space="preserve"> combines cycling-wear estimates from </w:t>
      </w:r>
      <w:r>
        <w:rPr>
          <w:b w:val="0"/>
          <w:i w:val="0"/>
        </w:rPr>
        <w:t>Kumar et al. (2012)</w:t>
      </w:r>
      <w:r>
        <w:rPr>
          <w:b w:val="0"/>
          <w:i w:val="0"/>
        </w:rPr>
        <w:t xml:space="preserve"> with GB start-up fuel and carbon estimates from </w:t>
      </w:r>
      <w:r>
        <w:rPr>
          <w:b w:val="0"/>
          <w:i w:val="0"/>
        </w:rPr>
        <w:t>Staffell and Green (2016)</w:t>
      </w:r>
      <w:r>
        <w:rPr>
          <w:b w:val="0"/>
          <w:i w:val="0"/>
        </w:rPr>
        <w:t xml:space="preserve">. Its minimum-load and downtime assumptions draw on Elexon declarations and the technical sources recorded with the table. The table converts the selected 2024 GBP values to 2025 GBP using </w:t>
      </w:r>
      <w:r>
        <w:rPr>
          <w:b w:val="0"/>
          <w:i w:val="0"/>
        </w:rPr>
        <w:t>ONS CPI D7BT</w:t>
      </w:r>
      <w:r>
        <w:rPr>
          <w:b w:val="0"/>
          <w:i w:val="0"/>
        </w:rPr>
        <w:t xml:space="preserve">, </w:t>
      </w:r>
      <w:r>
        <w:drawing>
          <wp:inline xmlns:a="http://schemas.openxmlformats.org/drawingml/2006/main" xmlns:pic="http://schemas.openxmlformats.org/drawingml/2006/picture">
            <wp:extent cx="835332" cy="164435"/>
            <wp:docPr id="87" name="Picture 87"/>
            <wp:cNvGraphicFramePr>
              <a:graphicFrameLocks noChangeAspect="1"/>
            </wp:cNvGraphicFramePr>
            <a:graphic>
              <a:graphicData uri="http://schemas.openxmlformats.org/drawingml/2006/picture">
                <pic:pic>
                  <pic:nvPicPr>
                    <pic:cNvPr id="0" name="eq-087.png"/>
                    <pic:cNvPicPr/>
                  </pic:nvPicPr>
                  <pic:blipFill>
                    <a:blip r:embed="rId91"/>
                    <a:stretch>
                      <a:fillRect/>
                    </a:stretch>
                  </pic:blipFill>
                  <pic:spPr>
                    <a:xfrm>
                      <a:off x="0" y="0"/>
                      <a:ext cx="835332" cy="164435"/>
                    </a:xfrm>
                    <a:prstGeom prst="rect"/>
                  </pic:spPr>
                </pic:pic>
              </a:graphicData>
            </a:graphic>
          </wp:inline>
        </w:drawing>
      </w:r>
      <w:r>
        <w:rPr>
          <w:b w:val="0"/>
          <w:i w:val="0"/>
        </w:rPr>
        <w:t>, and rounds restart costs to one decimal place; the recorded conversion factor is 1.0336.</w:t>
      </w:r>
    </w:p>
    <w:p>
      <w:r>
        <w:rPr>
          <w:rFonts w:ascii="DejaVu Sans Mono" w:hAnsi="DejaVu Sans Mono"/>
          <w:b w:val="0"/>
          <w:i w:val="0"/>
          <w:sz w:val="17"/>
        </w:rPr>
        <w:t>RestartParameters.break_​even_​hours</w:t>
      </w:r>
      <w:r>
        <w:rPr>
          <w:b w:val="0"/>
          <w:i w:val="0"/>
        </w:rPr>
        <w:t xml:space="preserve"> divides restart cost by </w:t>
      </w:r>
      <w:r>
        <w:rPr>
          <w:rFonts w:ascii="DejaVu Sans Mono" w:hAnsi="DejaVu Sans Mono"/>
          <w:b w:val="0"/>
          <w:i w:val="0"/>
          <w:sz w:val="17"/>
        </w:rPr>
        <w:t>min_stable_fraction</w:t>
      </w:r>
      <w:r>
        <w:rPr>
          <w:b w:val="0"/>
          <w:i w:val="0"/>
        </w:rPr>
        <w:t xml:space="preserve"> times avoided operating cost. At the supplied GB costs, break-even times are 4.13 h for hot-start CCGT, 4.69 h for OCGT and 4.34 h for biomass. Thus eligible CCGT and biomass shutdowns at 6 h have positive net savings; OCGT first has positive savings at 5 h on the half-hour grid. The CCGT six-hour cost threshold is 113.7 / (0.5 × 6) = 37.9 £/MWh.</w:t>
      </w:r>
    </w:p>
    <w:p>
      <w:pPr>
        <w:keepNext/>
      </w:pPr>
      <w:r>
        <w:rPr>
          <w:b w:val="0"/>
          <w:i w:val="0"/>
        </w:rPr>
        <w:t>Equal rounded savings use class ranks thermal 0, imports 0.5, hydro and biomass 1, VRE 2, shutdown segments 2.5 and nuclear 3, followed by name and input order. Each accepted reduction consumes the remaining requirement once:</w:t>
      </w:r>
    </w:p>
    <w:p>
      <w:pPr>
        <w:spacing w:after="160"/>
        <w:jc w:val="center"/>
      </w:pPr>
      <w:r>
        <w:drawing>
          <wp:inline xmlns:a="http://schemas.openxmlformats.org/drawingml/2006/main" xmlns:pic="http://schemas.openxmlformats.org/drawingml/2006/picture">
            <wp:extent cx="3219678" cy="621983"/>
            <wp:docPr id="88" name="Picture 88"/>
            <wp:cNvGraphicFramePr>
              <a:graphicFrameLocks noChangeAspect="1"/>
            </wp:cNvGraphicFramePr>
            <a:graphic>
              <a:graphicData uri="http://schemas.openxmlformats.org/drawingml/2006/picture">
                <pic:pic>
                  <pic:nvPicPr>
                    <pic:cNvPr id="0" name="eq-088.png"/>
                    <pic:cNvPicPr/>
                  </pic:nvPicPr>
                  <pic:blipFill>
                    <a:blip r:embed="rId92"/>
                    <a:stretch>
                      <a:fillRect/>
                    </a:stretch>
                  </pic:blipFill>
                  <pic:spPr>
                    <a:xfrm>
                      <a:off x="0" y="0"/>
                      <a:ext cx="3219678" cy="621983"/>
                    </a:xfrm>
                    <a:prstGeom prst="rect"/>
                  </pic:spPr>
                </pic:pic>
              </a:graphicData>
            </a:graphic>
          </wp:inline>
        </w:drawing>
      </w:r>
    </w:p>
    <w:p>
      <w:r>
        <w:rPr>
          <w:rFonts w:ascii="DejaVu Sans Mono" w:hAnsi="DejaVu Sans Mono"/>
          <w:b w:val="0"/>
          <w:i w:val="0"/>
          <w:sz w:val="17"/>
        </w:rPr>
        <w:t>limit</w:t>
      </w:r>
      <w:r>
        <w:rPr>
          <w:b w:val="0"/>
          <w:i w:val="0"/>
        </w:rPr>
        <w:t xml:space="preserve"> is the segment's reducible MW, </w:t>
      </w:r>
      <w:r>
        <w:rPr>
          <w:rFonts w:ascii="DejaVu Sans Mono" w:hAnsi="DejaVu Sans Mono"/>
          <w:b w:val="0"/>
          <w:i w:val="0"/>
          <w:sz w:val="17"/>
        </w:rPr>
        <w:t>item[2]</w:t>
      </w:r>
      <w:r>
        <w:rPr>
          <w:b w:val="0"/>
          <w:i w:val="0"/>
        </w:rPr>
        <w:t xml:space="preserve"> is its remaining accepted output, and </w:t>
      </w:r>
      <w:r>
        <w:rPr>
          <w:rFonts w:ascii="DejaVu Sans Mono" w:hAnsi="DejaVu Sans Mono"/>
          <w:b w:val="0"/>
          <w:i w:val="0"/>
          <w:sz w:val="17"/>
        </w:rPr>
        <w:t>remaining</w:t>
      </w:r>
      <w:r>
        <w:rPr>
          <w:b w:val="0"/>
          <w:i w:val="0"/>
        </w:rPr>
        <w:t xml:space="preserve"> is the outstanding downward requirement. Hydro and biomass reductions return energy to cumulative budgets. Output held by the ramp floor becomes in-dispatch spill. </w:t>
      </w:r>
      <w:r>
        <w:rPr>
          <w:rFonts w:ascii="DejaVu Sans Mono" w:hAnsi="DejaVu Sans Mono"/>
          <w:b w:val="0"/>
          <w:i w:val="0"/>
          <w:sz w:val="17"/>
        </w:rPr>
        <w:t>native_​corrected.economic_​downward_​stack</w:t>
      </w:r>
      <w:r>
        <w:rPr>
          <w:b w:val="0"/>
          <w:i w:val="0"/>
        </w:rPr>
        <w:t xml:space="preserve"> applies these reductions. Reduction stops when </w:t>
      </w:r>
      <w:r>
        <w:rPr>
          <w:rFonts w:ascii="DejaVu Sans Mono" w:hAnsi="DejaVu Sans Mono"/>
          <w:b w:val="0"/>
          <w:i w:val="0"/>
          <w:sz w:val="17"/>
        </w:rPr>
        <w:t>remaining</w:t>
      </w:r>
      <w:r>
        <w:rPr>
          <w:b w:val="0"/>
          <w:i w:val="0"/>
        </w:rPr>
        <w:t xml:space="preserve"> is at most </w:t>
      </w:r>
      <w:r>
        <w:drawing>
          <wp:inline xmlns:a="http://schemas.openxmlformats.org/drawingml/2006/main" xmlns:pic="http://schemas.openxmlformats.org/drawingml/2006/picture">
            <wp:extent cx="328247" cy="146617"/>
            <wp:docPr id="89" name="Picture 89"/>
            <wp:cNvGraphicFramePr>
              <a:graphicFrameLocks noChangeAspect="1"/>
            </wp:cNvGraphicFramePr>
            <a:graphic>
              <a:graphicData uri="http://schemas.openxmlformats.org/drawingml/2006/picture">
                <pic:pic>
                  <pic:nvPicPr>
                    <pic:cNvPr id="0" name="eq-089.png"/>
                    <pic:cNvPicPr/>
                  </pic:nvPicPr>
                  <pic:blipFill>
                    <a:blip r:embed="rId93"/>
                    <a:stretch>
                      <a:fillRect/>
                    </a:stretch>
                  </pic:blipFill>
                  <pic:spPr>
                    <a:xfrm>
                      <a:off x="0" y="0"/>
                      <a:ext cx="328247" cy="146617"/>
                    </a:xfrm>
                    <a:prstGeom prst="rect"/>
                  </pic:spPr>
                </pic:pic>
              </a:graphicData>
            </a:graphic>
          </wp:inline>
        </w:drawing>
      </w:r>
      <w:r>
        <w:rPr>
          <w:b w:val="0"/>
          <w:i w:val="0"/>
        </w:rPr>
        <w:t xml:space="preserve"> MW or every reducible segment is exhausted.</w:t>
      </w:r>
    </w:p>
    <w:p>
      <w:pPr>
        <w:pStyle w:val="Heading2"/>
      </w:pPr>
      <w:r>
        <w:rPr>
          <w:b w:val="0"/>
          <w:i w:val="0"/>
        </w:rPr>
        <w:t>Settlement, displayed price and physical cost</w:t>
      </w:r>
    </w:p>
    <w:p>
      <w:pPr>
        <w:keepNext/>
      </w:pPr>
      <w:r>
        <w:rPr>
          <w:b w:val="0"/>
          <w:i w:val="0"/>
        </w:rPr>
        <w:t xml:space="preserve">The market dispatch pays every accepted supply category the same marginal price within each stage. Ahead settlement takes the highest accepted offer including imports and storage. </w:t>
      </w:r>
      <w:r>
        <w:rPr>
          <w:rFonts w:ascii="DejaVu Sans Mono" w:hAnsi="DejaVu Sans Mono"/>
          <w:b w:val="0"/>
          <w:i w:val="0"/>
          <w:sz w:val="17"/>
        </w:rPr>
        <w:t>uniform_income</w:t>
      </w:r>
      <w:r>
        <w:rPr>
          <w:b w:val="0"/>
          <w:i w:val="0"/>
        </w:rPr>
        <w:t xml:space="preserve"> multiplies accepted </w:t>
      </w:r>
      <w:r>
        <w:rPr>
          <w:rFonts w:ascii="DejaVu Sans Mono" w:hAnsi="DejaVu Sans Mono"/>
          <w:b w:val="0"/>
          <w:i w:val="0"/>
          <w:sz w:val="17"/>
        </w:rPr>
        <w:t>power_mw</w:t>
      </w:r>
      <w:r>
        <w:rPr>
          <w:b w:val="0"/>
          <w:i w:val="0"/>
        </w:rPr>
        <w:t xml:space="preserve"> by period length and the stage's </w:t>
      </w:r>
      <w:r>
        <w:rPr>
          <w:rFonts w:ascii="DejaVu Sans Mono" w:hAnsi="DejaVu Sans Mono"/>
          <w:b w:val="0"/>
          <w:i w:val="0"/>
          <w:sz w:val="17"/>
        </w:rPr>
        <w:t>price_gbp_per_mwh</w:t>
      </w:r>
      <w:r>
        <w:rPr>
          <w:b w:val="0"/>
          <w:i w:val="0"/>
        </w:rPr>
        <w:t xml:space="preserve">; the balancing price also includes accepted import prices. </w:t>
      </w:r>
      <w:r>
        <w:rPr>
          <w:rFonts w:ascii="DejaVu Sans Mono" w:hAnsi="DejaVu Sans Mono"/>
          <w:b w:val="0"/>
          <w:i w:val="0"/>
          <w:sz w:val="17"/>
        </w:rPr>
        <w:t>income</w:t>
      </w:r>
      <w:r>
        <w:rPr>
          <w:b w:val="0"/>
          <w:i w:val="0"/>
        </w:rPr>
        <w:t xml:space="preserve"> is GBP, </w:t>
      </w:r>
      <w:r>
        <w:rPr>
          <w:rFonts w:ascii="DejaVu Sans Mono" w:hAnsi="DejaVu Sans Mono"/>
          <w:b w:val="0"/>
          <w:i w:val="0"/>
          <w:sz w:val="17"/>
        </w:rPr>
        <w:t>power_mw</w:t>
      </w:r>
      <w:r>
        <w:rPr>
          <w:b w:val="0"/>
          <w:i w:val="0"/>
        </w:rPr>
        <w:t xml:space="preserve"> is MW and the price is GBP/MWh; an empty accepted category contributes zero to the maximum:</w:t>
      </w:r>
    </w:p>
    <w:p>
      <w:pPr>
        <w:spacing w:after="160"/>
        <w:jc w:val="center"/>
      </w:pPr>
      <w:r>
        <w:drawing>
          <wp:inline xmlns:a="http://schemas.openxmlformats.org/drawingml/2006/main" xmlns:pic="http://schemas.openxmlformats.org/drawingml/2006/picture">
            <wp:extent cx="4659782" cy="182916"/>
            <wp:docPr id="90" name="Picture 90"/>
            <wp:cNvGraphicFramePr>
              <a:graphicFrameLocks noChangeAspect="1"/>
            </wp:cNvGraphicFramePr>
            <a:graphic>
              <a:graphicData uri="http://schemas.openxmlformats.org/drawingml/2006/picture">
                <pic:pic>
                  <pic:nvPicPr>
                    <pic:cNvPr id="0" name="eq-090.png"/>
                    <pic:cNvPicPr/>
                  </pic:nvPicPr>
                  <pic:blipFill>
                    <a:blip r:embed="rId94"/>
                    <a:stretch>
                      <a:fillRect/>
                    </a:stretch>
                  </pic:blipFill>
                  <pic:spPr>
                    <a:xfrm>
                      <a:off x="0" y="0"/>
                      <a:ext cx="4659782" cy="182916"/>
                    </a:xfrm>
                    <a:prstGeom prst="rect"/>
                  </pic:spPr>
                </pic:pic>
              </a:graphicData>
            </a:graphic>
          </wp:inline>
        </w:drawing>
      </w:r>
    </w:p>
    <w:p>
      <w:pPr>
        <w:spacing w:after="160"/>
        <w:jc w:val="center"/>
      </w:pPr>
      <w:r>
        <w:drawing>
          <wp:inline xmlns:a="http://schemas.openxmlformats.org/drawingml/2006/main" xmlns:pic="http://schemas.openxmlformats.org/drawingml/2006/picture">
            <wp:extent cx="6217920" cy="319843"/>
            <wp:docPr id="91" name="Picture 91"/>
            <wp:cNvGraphicFramePr>
              <a:graphicFrameLocks noChangeAspect="1"/>
            </wp:cNvGraphicFramePr>
            <a:graphic>
              <a:graphicData uri="http://schemas.openxmlformats.org/drawingml/2006/picture">
                <pic:pic>
                  <pic:nvPicPr>
                    <pic:cNvPr id="0" name="eq-091.png"/>
                    <pic:cNvPicPr/>
                  </pic:nvPicPr>
                  <pic:blipFill>
                    <a:blip r:embed="rId95"/>
                    <a:stretch>
                      <a:fillRect/>
                    </a:stretch>
                  </pic:blipFill>
                  <pic:spPr>
                    <a:xfrm>
                      <a:off x="0" y="0"/>
                      <a:ext cx="6217920" cy="319843"/>
                    </a:xfrm>
                    <a:prstGeom prst="rect"/>
                  </pic:spPr>
                </pic:pic>
              </a:graphicData>
            </a:graphic>
          </wp:inline>
        </w:drawing>
      </w:r>
    </w:p>
    <w:p>
      <w:r>
        <w:rPr>
          <w:b w:val="0"/>
          <w:i w:val="0"/>
        </w:rPr>
        <w:t>Storage charges are settled within the current period. Bought-back storage output retains its ahead-stage remuneration, while the physical dispatch and annual delivered-energy totals use the closing net position.</w:t>
      </w:r>
    </w:p>
    <w:p>
      <w:pPr>
        <w:keepNext/>
      </w:pPr>
      <w:r>
        <w:rPr>
          <w:b w:val="0"/>
          <w:i w:val="0"/>
        </w:rPr>
        <w:t xml:space="preserve">The displayed market price is labelled “Average period cost (£/MWh demand)”. If </w:t>
      </w:r>
      <w:r>
        <w:drawing>
          <wp:inline xmlns:a="http://schemas.openxmlformats.org/drawingml/2006/main" xmlns:pic="http://schemas.openxmlformats.org/drawingml/2006/picture">
            <wp:extent cx="1093914" cy="155647"/>
            <wp:docPr id="92" name="Picture 92"/>
            <wp:cNvGraphicFramePr>
              <a:graphicFrameLocks noChangeAspect="1"/>
            </wp:cNvGraphicFramePr>
            <a:graphic>
              <a:graphicData uri="http://schemas.openxmlformats.org/drawingml/2006/picture">
                <pic:pic>
                  <pic:nvPicPr>
                    <pic:cNvPr id="0" name="eq-092.png"/>
                    <pic:cNvPicPr/>
                  </pic:nvPicPr>
                  <pic:blipFill>
                    <a:blip r:embed="rId96"/>
                    <a:stretch>
                      <a:fillRect/>
                    </a:stretch>
                  </pic:blipFill>
                  <pic:spPr>
                    <a:xfrm>
                      <a:off x="0" y="0"/>
                      <a:ext cx="1093914" cy="155647"/>
                    </a:xfrm>
                    <a:prstGeom prst="rect"/>
                  </pic:spPr>
                </pic:pic>
              </a:graphicData>
            </a:graphic>
          </wp:inline>
        </w:drawing>
      </w:r>
      <w:r>
        <w:rPr>
          <w:b w:val="0"/>
          <w:i w:val="0"/>
        </w:rPr>
        <w:t xml:space="preserve"> is the accumulator of accepted-offer, storage, downward and upward charges, its unit is GBP/hour. The price in GBP/MWh and associated period expenditure in GBP are</w:t>
      </w:r>
    </w:p>
    <w:p>
      <w:pPr>
        <w:spacing w:after="160"/>
        <w:jc w:val="center"/>
      </w:pPr>
      <w:r>
        <w:drawing>
          <wp:inline xmlns:a="http://schemas.openxmlformats.org/drawingml/2006/main" xmlns:pic="http://schemas.openxmlformats.org/drawingml/2006/picture">
            <wp:extent cx="6180658" cy="637723"/>
            <wp:docPr id="93" name="Picture 93"/>
            <wp:cNvGraphicFramePr>
              <a:graphicFrameLocks noChangeAspect="1"/>
            </wp:cNvGraphicFramePr>
            <a:graphic>
              <a:graphicData uri="http://schemas.openxmlformats.org/drawingml/2006/picture">
                <pic:pic>
                  <pic:nvPicPr>
                    <pic:cNvPr id="0" name="eq-093.png"/>
                    <pic:cNvPicPr/>
                  </pic:nvPicPr>
                  <pic:blipFill>
                    <a:blip r:embed="rId97"/>
                    <a:stretch>
                      <a:fillRect/>
                    </a:stretch>
                  </pic:blipFill>
                  <pic:spPr>
                    <a:xfrm>
                      <a:off x="0" y="0"/>
                      <a:ext cx="6180658" cy="637723"/>
                    </a:xfrm>
                    <a:prstGeom prst="rect"/>
                  </pic:spPr>
                </pic:pic>
              </a:graphicData>
            </a:graphic>
          </wp:inline>
        </w:drawing>
      </w:r>
    </w:p>
    <w:p>
      <w:r>
        <w:rPr>
          <w:b w:val="0"/>
          <w:i w:val="0"/>
        </w:rPr>
        <w:t xml:space="preserve">This statistic describes expenditure per MWh of actual demand. Generator and storage income are calculated from the settlement accounts above. </w:t>
      </w:r>
      <w:r>
        <w:drawing>
          <wp:inline xmlns:a="http://schemas.openxmlformats.org/drawingml/2006/main" xmlns:pic="http://schemas.openxmlformats.org/drawingml/2006/picture">
            <wp:extent cx="1093914" cy="155647"/>
            <wp:docPr id="94" name="Picture 94"/>
            <wp:cNvGraphicFramePr>
              <a:graphicFrameLocks noChangeAspect="1"/>
            </wp:cNvGraphicFramePr>
            <a:graphic>
              <a:graphicData uri="http://schemas.openxmlformats.org/drawingml/2006/picture">
                <pic:pic>
                  <pic:nvPicPr>
                    <pic:cNvPr id="0" name="eq-092.png"/>
                    <pic:cNvPicPr/>
                  </pic:nvPicPr>
                  <pic:blipFill>
                    <a:blip r:embed="rId96"/>
                    <a:stretch>
                      <a:fillRect/>
                    </a:stretch>
                  </pic:blipFill>
                  <pic:spPr>
                    <a:xfrm>
                      <a:off x="0" y="0"/>
                      <a:ext cx="1093914" cy="155647"/>
                    </a:xfrm>
                    <a:prstGeom prst="rect"/>
                  </pic:spPr>
                </pic:pic>
              </a:graphicData>
            </a:graphic>
          </wp:inline>
        </w:drawing>
      </w:r>
      <w:r>
        <w:rPr>
          <w:b w:val="0"/>
          <w:i w:val="0"/>
        </w:rPr>
        <w:t xml:space="preserve"> includes the current period's storage fee only. Final boundary supply enters the annual generation statistic, with storage discharge reported separately.</w:t>
      </w:r>
    </w:p>
    <w:p>
      <w:r>
        <w:rPr>
          <w:b w:val="0"/>
          <w:i w:val="0"/>
        </w:rPr>
        <w:t xml:space="preserve">Physical operating expenditure values realised generation at composite </w:t>
      </w:r>
      <w:r>
        <w:rPr>
          <w:rFonts w:ascii="DejaVu Sans Mono" w:hAnsi="DejaVu Sans Mono"/>
          <w:b w:val="0"/>
          <w:i w:val="0"/>
          <w:sz w:val="17"/>
        </w:rPr>
        <w:t>gen_cost</w:t>
      </w:r>
      <w:r>
        <w:rPr>
          <w:b w:val="0"/>
          <w:i w:val="0"/>
        </w:rPr>
        <w:t xml:space="preserve">, imports at </w:t>
      </w:r>
      <w:r>
        <w:rPr>
          <w:rFonts w:ascii="DejaVu Sans Mono" w:hAnsi="DejaVu Sans Mono"/>
          <w:b w:val="0"/>
          <w:i w:val="0"/>
          <w:sz w:val="17"/>
        </w:rPr>
        <w:t>external_price</w:t>
      </w:r>
      <w:r>
        <w:rPr>
          <w:b w:val="0"/>
          <w:i w:val="0"/>
        </w:rPr>
        <w:t xml:space="preserve">, and accepted starts at </w:t>
      </w:r>
      <w:r>
        <w:rPr>
          <w:rFonts w:ascii="DejaVu Sans Mono" w:hAnsi="DejaVu Sans Mono"/>
          <w:b w:val="0"/>
          <w:i w:val="0"/>
          <w:sz w:val="17"/>
        </w:rPr>
        <w:t>startup_cost</w:t>
      </w:r>
      <w:r>
        <w:rPr>
          <w:b w:val="0"/>
          <w:i w:val="0"/>
        </w:rPr>
        <w:t xml:space="preserve"> times generated MWh. </w:t>
      </w:r>
      <w:r>
        <w:rPr>
          <w:rFonts w:ascii="DejaVu Sans Mono" w:hAnsi="DejaVu Sans Mono"/>
          <w:b w:val="0"/>
          <w:i w:val="0"/>
          <w:sz w:val="17"/>
        </w:rPr>
        <w:t>physical_cost_terms</w:t>
      </w:r>
      <w:r>
        <w:rPr>
          <w:b w:val="0"/>
          <w:i w:val="0"/>
        </w:rPr>
        <w:t xml:space="preserve"> returns </w:t>
      </w:r>
      <w:r>
        <w:rPr>
          <w:rFonts w:ascii="DejaVu Sans Mono" w:hAnsi="DejaVu Sans Mono"/>
          <w:b w:val="0"/>
          <w:i w:val="0"/>
          <w:sz w:val="17"/>
        </w:rPr>
        <w:t>generation_variable_gbp</w:t>
      </w:r>
      <w:r>
        <w:rPr>
          <w:b w:val="0"/>
          <w:i w:val="0"/>
        </w:rPr>
        <w:t xml:space="preserve">, </w:t>
      </w:r>
      <w:r>
        <w:rPr>
          <w:rFonts w:ascii="DejaVu Sans Mono" w:hAnsi="DejaVu Sans Mono"/>
          <w:b w:val="0"/>
          <w:i w:val="0"/>
          <w:sz w:val="17"/>
        </w:rPr>
        <w:t>import_variable_gbp</w:t>
      </w:r>
      <w:r>
        <w:rPr>
          <w:b w:val="0"/>
          <w:i w:val="0"/>
        </w:rPr>
        <w:t xml:space="preserve"> and </w:t>
      </w:r>
      <w:r>
        <w:rPr>
          <w:rFonts w:ascii="DejaVu Sans Mono" w:hAnsi="DejaVu Sans Mono"/>
          <w:b w:val="0"/>
          <w:i w:val="0"/>
          <w:sz w:val="17"/>
        </w:rPr>
        <w:t>startup_adder_gbp</w:t>
      </w:r>
      <w:r>
        <w:rPr>
          <w:b w:val="0"/>
          <w:i w:val="0"/>
        </w:rPr>
        <w:t xml:space="preserve"> for each period. Chapter 6 combines these components with storage depreciation, shortage valuation and annual capital costs.</w:t>
      </w:r>
    </w:p>
    <w:p>
      <w:pPr>
        <w:pStyle w:val="Heading2"/>
      </w:pPr>
      <w:r>
        <w:rPr>
          <w:b w:val="0"/>
          <w:i w:val="0"/>
        </w:rPr>
        <w:t>Energy balance and annual outputs</w:t>
      </w:r>
    </w:p>
    <w:p>
      <w:pPr>
        <w:keepNext/>
      </w:pPr>
      <w:r>
        <w:rPr>
          <w:b w:val="0"/>
          <w:i w:val="0"/>
        </w:rPr>
        <w:t xml:space="preserve">The period energy balance includes gross accepted supply, charging, exports, flexible demand and non-VRE spill. All quantities in this section are MWh. With accepted supply </w:t>
      </w:r>
      <w:r>
        <w:drawing>
          <wp:inline xmlns:a="http://schemas.openxmlformats.org/drawingml/2006/main" xmlns:pic="http://schemas.openxmlformats.org/drawingml/2006/picture">
            <wp:extent cx="1667744" cy="155598"/>
            <wp:docPr id="95" name="Picture 95"/>
            <wp:cNvGraphicFramePr>
              <a:graphicFrameLocks noChangeAspect="1"/>
            </wp:cNvGraphicFramePr>
            <a:graphic>
              <a:graphicData uri="http://schemas.openxmlformats.org/drawingml/2006/picture">
                <pic:pic>
                  <pic:nvPicPr>
                    <pic:cNvPr id="0" name="eq-095.png"/>
                    <pic:cNvPicPr/>
                  </pic:nvPicPr>
                  <pic:blipFill>
                    <a:blip r:embed="rId98"/>
                    <a:stretch>
                      <a:fillRect/>
                    </a:stretch>
                  </pic:blipFill>
                  <pic:spPr>
                    <a:xfrm>
                      <a:off x="0" y="0"/>
                      <a:ext cx="1667744" cy="155598"/>
                    </a:xfrm>
                    <a:prstGeom prst="rect"/>
                  </pic:spPr>
                </pic:pic>
              </a:graphicData>
            </a:graphic>
          </wp:inline>
        </w:drawing>
      </w:r>
      <w:r>
        <w:rPr>
          <w:b w:val="0"/>
          <w:i w:val="0"/>
        </w:rPr>
        <w:t xml:space="preserve">, recorded blackout </w:t>
      </w:r>
      <w:r>
        <w:drawing>
          <wp:inline xmlns:a="http://schemas.openxmlformats.org/drawingml/2006/main" xmlns:pic="http://schemas.openxmlformats.org/drawingml/2006/picture">
            <wp:extent cx="1106985" cy="140291"/>
            <wp:docPr id="96" name="Picture 96"/>
            <wp:cNvGraphicFramePr>
              <a:graphicFrameLocks noChangeAspect="1"/>
            </wp:cNvGraphicFramePr>
            <a:graphic>
              <a:graphicData uri="http://schemas.openxmlformats.org/drawingml/2006/picture">
                <pic:pic>
                  <pic:nvPicPr>
                    <pic:cNvPr id="0" name="eq-096.png"/>
                    <pic:cNvPicPr/>
                  </pic:nvPicPr>
                  <pic:blipFill>
                    <a:blip r:embed="rId99"/>
                    <a:stretch>
                      <a:fillRect/>
                    </a:stretch>
                  </pic:blipFill>
                  <pic:spPr>
                    <a:xfrm>
                      <a:off x="0" y="0"/>
                      <a:ext cx="1106985" cy="140291"/>
                    </a:xfrm>
                    <a:prstGeom prst="rect"/>
                  </pic:spPr>
                </pic:pic>
              </a:graphicData>
            </a:graphic>
          </wp:inline>
        </w:drawing>
      </w:r>
      <w:r>
        <w:rPr>
          <w:b w:val="0"/>
          <w:i w:val="0"/>
        </w:rPr>
        <w:t xml:space="preserve">, actual demand </w:t>
      </w:r>
      <w:r>
        <w:drawing>
          <wp:inline xmlns:a="http://schemas.openxmlformats.org/drawingml/2006/main" xmlns:pic="http://schemas.openxmlformats.org/drawingml/2006/picture">
            <wp:extent cx="1405658" cy="140128"/>
            <wp:docPr id="97" name="Picture 97"/>
            <wp:cNvGraphicFramePr>
              <a:graphicFrameLocks noChangeAspect="1"/>
            </wp:cNvGraphicFramePr>
            <a:graphic>
              <a:graphicData uri="http://schemas.openxmlformats.org/drawingml/2006/picture">
                <pic:pic>
                  <pic:nvPicPr>
                    <pic:cNvPr id="0" name="eq-097.png"/>
                    <pic:cNvPicPr/>
                  </pic:nvPicPr>
                  <pic:blipFill>
                    <a:blip r:embed="rId100"/>
                    <a:stretch>
                      <a:fillRect/>
                    </a:stretch>
                  </pic:blipFill>
                  <pic:spPr>
                    <a:xfrm>
                      <a:off x="0" y="0"/>
                      <a:ext cx="1405658" cy="140128"/>
                    </a:xfrm>
                    <a:prstGeom prst="rect"/>
                  </pic:spPr>
                </pic:pic>
              </a:graphicData>
            </a:graphic>
          </wp:inline>
        </w:drawing>
      </w:r>
      <w:r>
        <w:rPr>
          <w:b w:val="0"/>
          <w:i w:val="0"/>
        </w:rPr>
        <w:t xml:space="preserve">, storage charge </w:t>
      </w:r>
      <w:r>
        <w:drawing>
          <wp:inline xmlns:a="http://schemas.openxmlformats.org/drawingml/2006/main" xmlns:pic="http://schemas.openxmlformats.org/drawingml/2006/picture">
            <wp:extent cx="1553752" cy="155594"/>
            <wp:docPr id="98" name="Picture 98"/>
            <wp:cNvGraphicFramePr>
              <a:graphicFrameLocks noChangeAspect="1"/>
            </wp:cNvGraphicFramePr>
            <a:graphic>
              <a:graphicData uri="http://schemas.openxmlformats.org/drawingml/2006/picture">
                <pic:pic>
                  <pic:nvPicPr>
                    <pic:cNvPr id="0" name="eq-098.png"/>
                    <pic:cNvPicPr/>
                  </pic:nvPicPr>
                  <pic:blipFill>
                    <a:blip r:embed="rId101"/>
                    <a:stretch>
                      <a:fillRect/>
                    </a:stretch>
                  </pic:blipFill>
                  <pic:spPr>
                    <a:xfrm>
                      <a:off x="0" y="0"/>
                      <a:ext cx="1553752" cy="155594"/>
                    </a:xfrm>
                    <a:prstGeom prst="rect"/>
                  </pic:spPr>
                </pic:pic>
              </a:graphicData>
            </a:graphic>
          </wp:inline>
        </w:drawing>
      </w:r>
      <w:r>
        <w:rPr>
          <w:b w:val="0"/>
          <w:i w:val="0"/>
        </w:rPr>
        <w:t xml:space="preserve">, exports </w:t>
      </w:r>
      <w:r>
        <w:drawing>
          <wp:inline xmlns:a="http://schemas.openxmlformats.org/drawingml/2006/main" xmlns:pic="http://schemas.openxmlformats.org/drawingml/2006/picture">
            <wp:extent cx="951369" cy="153447"/>
            <wp:docPr id="99" name="Picture 99"/>
            <wp:cNvGraphicFramePr>
              <a:graphicFrameLocks noChangeAspect="1"/>
            </wp:cNvGraphicFramePr>
            <a:graphic>
              <a:graphicData uri="http://schemas.openxmlformats.org/drawingml/2006/picture">
                <pic:pic>
                  <pic:nvPicPr>
                    <pic:cNvPr id="0" name="eq-099.png"/>
                    <pic:cNvPicPr/>
                  </pic:nvPicPr>
                  <pic:blipFill>
                    <a:blip r:embed="rId102"/>
                    <a:stretch>
                      <a:fillRect/>
                    </a:stretch>
                  </pic:blipFill>
                  <pic:spPr>
                    <a:xfrm>
                      <a:off x="0" y="0"/>
                      <a:ext cx="951369" cy="153447"/>
                    </a:xfrm>
                    <a:prstGeom prst="rect"/>
                  </pic:spPr>
                </pic:pic>
              </a:graphicData>
            </a:graphic>
          </wp:inline>
        </w:drawing>
      </w:r>
      <w:r>
        <w:rPr>
          <w:b w:val="0"/>
          <w:i w:val="0"/>
        </w:rPr>
        <w:t xml:space="preserve">, flexible demand </w:t>
      </w:r>
      <w:r>
        <w:drawing>
          <wp:inline xmlns:a="http://schemas.openxmlformats.org/drawingml/2006/main" xmlns:pic="http://schemas.openxmlformats.org/drawingml/2006/picture">
            <wp:extent cx="1653212" cy="142330"/>
            <wp:docPr id="100" name="Picture 100"/>
            <wp:cNvGraphicFramePr>
              <a:graphicFrameLocks noChangeAspect="1"/>
            </wp:cNvGraphicFramePr>
            <a:graphic>
              <a:graphicData uri="http://schemas.openxmlformats.org/drawingml/2006/picture">
                <pic:pic>
                  <pic:nvPicPr>
                    <pic:cNvPr id="0" name="eq-100.png"/>
                    <pic:cNvPicPr/>
                  </pic:nvPicPr>
                  <pic:blipFill>
                    <a:blip r:embed="rId103"/>
                    <a:stretch>
                      <a:fillRect/>
                    </a:stretch>
                  </pic:blipFill>
                  <pic:spPr>
                    <a:xfrm>
                      <a:off x="0" y="0"/>
                      <a:ext cx="1653212" cy="142330"/>
                    </a:xfrm>
                    <a:prstGeom prst="rect"/>
                  </pic:spPr>
                </pic:pic>
              </a:graphicData>
            </a:graphic>
          </wp:inline>
        </w:drawing>
      </w:r>
      <w:r>
        <w:rPr>
          <w:b w:val="0"/>
          <w:i w:val="0"/>
        </w:rPr>
        <w:t xml:space="preserve"> and non-VRE spill </w:t>
      </w:r>
      <w:r>
        <w:drawing>
          <wp:inline xmlns:a="http://schemas.openxmlformats.org/drawingml/2006/main" xmlns:pic="http://schemas.openxmlformats.org/drawingml/2006/picture">
            <wp:extent cx="1438884" cy="153306"/>
            <wp:docPr id="101" name="Picture 101"/>
            <wp:cNvGraphicFramePr>
              <a:graphicFrameLocks noChangeAspect="1"/>
            </wp:cNvGraphicFramePr>
            <a:graphic>
              <a:graphicData uri="http://schemas.openxmlformats.org/drawingml/2006/picture">
                <pic:pic>
                  <pic:nvPicPr>
                    <pic:cNvPr id="0" name="eq-101.png"/>
                    <pic:cNvPicPr/>
                  </pic:nvPicPr>
                  <pic:blipFill>
                    <a:blip r:embed="rId104"/>
                    <a:stretch>
                      <a:fillRect/>
                    </a:stretch>
                  </pic:blipFill>
                  <pic:spPr>
                    <a:xfrm>
                      <a:off x="0" y="0"/>
                      <a:ext cx="1438884" cy="153306"/>
                    </a:xfrm>
                    <a:prstGeom prst="rect"/>
                  </pic:spPr>
                </pic:pic>
              </a:graphicData>
            </a:graphic>
          </wp:inline>
        </w:drawing>
      </w:r>
      <w:r>
        <w:rPr>
          <w:b w:val="0"/>
          <w:i w:val="0"/>
        </w:rPr>
        <w:t>, the period residual is</w:t>
      </w:r>
    </w:p>
    <w:p>
      <w:pPr>
        <w:spacing w:after="160"/>
        <w:jc w:val="center"/>
      </w:pPr>
      <w:r>
        <w:drawing>
          <wp:inline xmlns:a="http://schemas.openxmlformats.org/drawingml/2006/main" xmlns:pic="http://schemas.openxmlformats.org/drawingml/2006/picture">
            <wp:extent cx="6107811" cy="621753"/>
            <wp:docPr id="102" name="Picture 102"/>
            <wp:cNvGraphicFramePr>
              <a:graphicFrameLocks noChangeAspect="1"/>
            </wp:cNvGraphicFramePr>
            <a:graphic>
              <a:graphicData uri="http://schemas.openxmlformats.org/drawingml/2006/picture">
                <pic:pic>
                  <pic:nvPicPr>
                    <pic:cNvPr id="0" name="eq-102.png"/>
                    <pic:cNvPicPr/>
                  </pic:nvPicPr>
                  <pic:blipFill>
                    <a:blip r:embed="rId105"/>
                    <a:stretch>
                      <a:fillRect/>
                    </a:stretch>
                  </pic:blipFill>
                  <pic:spPr>
                    <a:xfrm>
                      <a:off x="0" y="0"/>
                      <a:ext cx="6107811" cy="621753"/>
                    </a:xfrm>
                    <a:prstGeom prst="rect"/>
                  </pic:spPr>
                </pic:pic>
              </a:graphicData>
            </a:graphic>
          </wp:inline>
        </w:drawing>
      </w:r>
    </w:p>
    <w:p>
      <w:pPr>
        <w:keepNext/>
      </w:pPr>
      <w:r>
        <w:rPr>
          <w:b w:val="0"/>
          <w:i w:val="0"/>
        </w:rPr>
        <w:t xml:space="preserve">The energy account absorbs small floating-point residuals through </w:t>
      </w:r>
      <w:r>
        <w:rPr>
          <w:rFonts w:ascii="DejaVu Sans Mono" w:hAnsi="DejaVu Sans Mono"/>
          <w:b w:val="0"/>
          <w:i w:val="0"/>
          <w:sz w:val="17"/>
        </w:rPr>
        <w:t>compatibility_​adjustment_​mwh</w:t>
      </w:r>
      <w:r>
        <w:rPr>
          <w:b w:val="0"/>
          <w:i w:val="0"/>
        </w:rPr>
        <w:t>. This numerical term is applied only within the period tolerance:</w:t>
      </w:r>
    </w:p>
    <w:p>
      <w:pPr>
        <w:spacing w:after="160"/>
        <w:jc w:val="center"/>
      </w:pPr>
      <w:r>
        <w:drawing>
          <wp:inline xmlns:a="http://schemas.openxmlformats.org/drawingml/2006/main" xmlns:pic="http://schemas.openxmlformats.org/drawingml/2006/picture">
            <wp:extent cx="6217920" cy="782702"/>
            <wp:docPr id="103" name="Picture 103"/>
            <wp:cNvGraphicFramePr>
              <a:graphicFrameLocks noChangeAspect="1"/>
            </wp:cNvGraphicFramePr>
            <a:graphic>
              <a:graphicData uri="http://schemas.openxmlformats.org/drawingml/2006/picture">
                <pic:pic>
                  <pic:nvPicPr>
                    <pic:cNvPr id="0" name="eq-103.png"/>
                    <pic:cNvPicPr/>
                  </pic:nvPicPr>
                  <pic:blipFill>
                    <a:blip r:embed="rId106"/>
                    <a:stretch>
                      <a:fillRect/>
                    </a:stretch>
                  </pic:blipFill>
                  <pic:spPr>
                    <a:xfrm>
                      <a:off x="0" y="0"/>
                      <a:ext cx="6217920" cy="782702"/>
                    </a:xfrm>
                    <a:prstGeom prst="rect"/>
                  </pic:spPr>
                </pic:pic>
              </a:graphicData>
            </a:graphic>
          </wp:inline>
        </w:drawing>
      </w:r>
    </w:p>
    <w:p>
      <w:pPr>
        <w:keepNext/>
      </w:pPr>
      <w:r>
        <w:rPr>
          <w:b w:val="0"/>
          <w:i w:val="0"/>
        </w:rPr>
        <w:t>The energy account measures total unmet demand from the physical residual and the dispatch branch's recorded blackout:</w:t>
      </w:r>
    </w:p>
    <w:p>
      <w:pPr>
        <w:spacing w:after="160"/>
        <w:jc w:val="center"/>
      </w:pPr>
      <w:r>
        <w:drawing>
          <wp:inline xmlns:a="http://schemas.openxmlformats.org/drawingml/2006/main" xmlns:pic="http://schemas.openxmlformats.org/drawingml/2006/picture">
            <wp:extent cx="5813374" cy="395483"/>
            <wp:docPr id="104" name="Picture 104"/>
            <wp:cNvGraphicFramePr>
              <a:graphicFrameLocks noChangeAspect="1"/>
            </wp:cNvGraphicFramePr>
            <a:graphic>
              <a:graphicData uri="http://schemas.openxmlformats.org/drawingml/2006/picture">
                <pic:pic>
                  <pic:nvPicPr>
                    <pic:cNvPr id="0" name="eq-104.png"/>
                    <pic:cNvPicPr/>
                  </pic:nvPicPr>
                  <pic:blipFill>
                    <a:blip r:embed="rId107"/>
                    <a:stretch>
                      <a:fillRect/>
                    </a:stretch>
                  </pic:blipFill>
                  <pic:spPr>
                    <a:xfrm>
                      <a:off x="0" y="0"/>
                      <a:ext cx="5813374" cy="395483"/>
                    </a:xfrm>
                    <a:prstGeom prst="rect"/>
                  </pic:spPr>
                </pic:pic>
              </a:graphicData>
            </a:graphic>
          </wp:inline>
        </w:drawing>
      </w:r>
    </w:p>
    <w:p>
      <w:r>
        <w:rPr>
          <w:b w:val="0"/>
          <w:i w:val="0"/>
        </w:rPr>
        <w:t xml:space="preserve">A period with unmet demand alone closes at </w:t>
      </w:r>
      <w:r>
        <w:drawing>
          <wp:inline xmlns:a="http://schemas.openxmlformats.org/drawingml/2006/main" xmlns:pic="http://schemas.openxmlformats.org/drawingml/2006/picture">
            <wp:extent cx="1921579" cy="155567"/>
            <wp:docPr id="105" name="Picture 105"/>
            <wp:cNvGraphicFramePr>
              <a:graphicFrameLocks noChangeAspect="1"/>
            </wp:cNvGraphicFramePr>
            <a:graphic>
              <a:graphicData uri="http://schemas.openxmlformats.org/drawingml/2006/picture">
                <pic:pic>
                  <pic:nvPicPr>
                    <pic:cNvPr id="0" name="eq-105.png"/>
                    <pic:cNvPicPr/>
                  </pic:nvPicPr>
                  <pic:blipFill>
                    <a:blip r:embed="rId108"/>
                    <a:stretch>
                      <a:fillRect/>
                    </a:stretch>
                  </pic:blipFill>
                  <pic:spPr>
                    <a:xfrm>
                      <a:off x="0" y="0"/>
                      <a:ext cx="1921579" cy="155567"/>
                    </a:xfrm>
                    <a:prstGeom prst="rect"/>
                  </pic:spPr>
                </pic:pic>
              </a:graphicData>
            </a:graphic>
          </wp:inline>
        </w:drawing>
      </w:r>
      <w:r>
        <w:rPr>
          <w:b w:val="0"/>
          <w:i w:val="0"/>
        </w:rPr>
        <w:t>. Consecutive periods with a shortfall form one event within the year. Annual outputs contain event count, period count and unserved MWh; Chapter 6 uses served demand after subtracting each shortfall component once.</w:t>
      </w:r>
    </w:p>
    <w:p>
      <w:r>
        <w:rPr>
          <w:b w:val="0"/>
          <w:i w:val="0"/>
        </w:rPr>
        <w:t>The annual output aggregates generator and import MWh, storage charge and discharge, renewable curtailment, non-renewable spill, exports, flexible demand, period prices, asset income and unserved energy. Period states carry realised generation and storage batches forward; the annual model then applies the account and investment rules in Chapter 6.</w:t>
      </w:r>
    </w:p>
    <w:p>
      <w:pPr>
        <w:pStyle w:val="Heading1"/>
      </w:pPr>
      <w:r>
        <w:rPr>
          <w:b w:val="0"/>
          <w:i w:val="0"/>
        </w:rPr>
        <w:t>6 Annual accounting and investment</w:t>
      </w:r>
    </w:p>
    <w:p>
      <w:r>
        <w:rPr>
          <w:b w:val="0"/>
          <w:i w:val="0"/>
        </w:rPr>
        <w:t>VALUE updates operating capacity once per model year. Annual dispatch supplies electricity sales, operating costs and renewable surplus; these quantities determine investment and retirement. Accepted additions enter a construction pipeline and become operating assets in their completion year. The annual calculation therefore links the current fleet, market income, construction time and future capacity.</w:t>
      </w:r>
    </w:p>
    <w:p>
      <w:pPr>
        <w:pStyle w:val="Heading2"/>
      </w:pPr>
      <w:r>
        <w:rPr>
          <w:b w:val="0"/>
          <w:i w:val="0"/>
        </w:rPr>
        <w:t>Annual inputs and calculation order</w:t>
      </w:r>
    </w:p>
    <w:p>
      <w:r>
        <w:rPr>
          <w:b w:val="0"/>
          <w:i w:val="0"/>
        </w:rPr>
        <w:t xml:space="preserve">The annual input </w:t>
      </w:r>
      <w:r>
        <w:rPr>
          <w:rFonts w:ascii="DejaVu Sans Mono" w:hAnsi="DejaVu Sans Mono"/>
          <w:b w:val="0"/>
          <w:i w:val="0"/>
          <w:sz w:val="17"/>
        </w:rPr>
        <w:t>YearState</w:t>
      </w:r>
      <w:r>
        <w:rPr>
          <w:b w:val="0"/>
          <w:i w:val="0"/>
        </w:rPr>
        <w:t xml:space="preserve"> contains the year, operating assets, planning projects and storage-cost observations. Each asset has </w:t>
      </w:r>
      <w:r>
        <w:rPr>
          <w:rFonts w:ascii="DejaVu Sans Mono" w:hAnsi="DejaVu Sans Mono"/>
          <w:b w:val="0"/>
          <w:i w:val="0"/>
          <w:sz w:val="17"/>
        </w:rPr>
        <w:t>capacity_mw</w:t>
      </w:r>
      <w:r>
        <w:rPr>
          <w:b w:val="0"/>
          <w:i w:val="0"/>
        </w:rPr>
        <w:t xml:space="preserve"> in MW, optional </w:t>
      </w:r>
      <w:r>
        <w:rPr>
          <w:rFonts w:ascii="DejaVu Sans Mono" w:hAnsi="DejaVu Sans Mono"/>
          <w:b w:val="0"/>
          <w:i w:val="0"/>
          <w:sz w:val="17"/>
        </w:rPr>
        <w:t>energy_capacity_mwh</w:t>
      </w:r>
      <w:r>
        <w:rPr>
          <w:b w:val="0"/>
          <w:i w:val="0"/>
        </w:rPr>
        <w:t xml:space="preserve"> in MWh, technology, region and investment owner. Its economic fields contain total capital </w:t>
      </w:r>
      <w:r>
        <w:rPr>
          <w:rFonts w:ascii="DejaVu Sans Mono" w:hAnsi="DejaVu Sans Mono"/>
          <w:b w:val="0"/>
          <w:i w:val="0"/>
          <w:sz w:val="17"/>
        </w:rPr>
        <w:t>total_capex_gbp</w:t>
      </w:r>
      <w:r>
        <w:rPr>
          <w:b w:val="0"/>
          <w:i w:val="0"/>
        </w:rPr>
        <w:t xml:space="preserve">, annual fixed cost </w:t>
      </w:r>
      <w:r>
        <w:rPr>
          <w:rFonts w:ascii="DejaVu Sans Mono" w:hAnsi="DejaVu Sans Mono"/>
          <w:b w:val="0"/>
          <w:i w:val="0"/>
          <w:sz w:val="17"/>
        </w:rPr>
        <w:t>annual_fixed_opex_gbp</w:t>
      </w:r>
      <w:r>
        <w:rPr>
          <w:b w:val="0"/>
          <w:i w:val="0"/>
        </w:rPr>
        <w:t xml:space="preserve">, annualised capital </w:t>
      </w:r>
      <w:r>
        <w:rPr>
          <w:rFonts w:ascii="DejaVu Sans Mono" w:hAnsi="DejaVu Sans Mono"/>
          <w:b w:val="0"/>
          <w:i w:val="0"/>
          <w:sz w:val="17"/>
        </w:rPr>
        <w:t>annualized_​capital_​cost_​gbp</w:t>
      </w:r>
      <w:r>
        <w:rPr>
          <w:b w:val="0"/>
          <w:i w:val="0"/>
        </w:rPr>
        <w:t xml:space="preserve">, lifetime </w:t>
      </w:r>
      <w:r>
        <w:rPr>
          <w:rFonts w:ascii="DejaVu Sans Mono" w:hAnsi="DejaVu Sans Mono"/>
          <w:b w:val="0"/>
          <w:i w:val="0"/>
          <w:sz w:val="17"/>
        </w:rPr>
        <w:t>economic_lifetime_years</w:t>
      </w:r>
      <w:r>
        <w:rPr>
          <w:b w:val="0"/>
          <w:i w:val="0"/>
        </w:rPr>
        <w:t xml:space="preserve">, required annual return </w:t>
      </w:r>
      <w:r>
        <w:rPr>
          <w:rFonts w:ascii="DejaVu Sans Mono" w:hAnsi="DejaVu Sans Mono"/>
          <w:b w:val="0"/>
          <w:i w:val="0"/>
          <w:sz w:val="17"/>
        </w:rPr>
        <w:t>preferred_rate</w:t>
      </w:r>
      <w:r>
        <w:rPr>
          <w:b w:val="0"/>
          <w:i w:val="0"/>
        </w:rPr>
        <w:t xml:space="preserve"> and target payback </w:t>
      </w:r>
      <w:r>
        <w:rPr>
          <w:rFonts w:ascii="DejaVu Sans Mono" w:hAnsi="DejaVu Sans Mono"/>
          <w:b w:val="0"/>
          <w:i w:val="0"/>
          <w:sz w:val="17"/>
        </w:rPr>
        <w:t>target_payback_years</w:t>
      </w:r>
      <w:r>
        <w:rPr>
          <w:b w:val="0"/>
          <w:i w:val="0"/>
        </w:rPr>
        <w:t>. Chapter 2 specifies the initial fleet, project list and input values.</w:t>
      </w:r>
    </w:p>
    <w:p>
      <w:r>
        <w:rPr>
          <w:b w:val="0"/>
          <w:i w:val="0"/>
        </w:rPr>
        <w:t xml:space="preserve">Projects enter operation before that year's dispatch. </w:t>
      </w:r>
      <w:r>
        <w:rPr>
          <w:rFonts w:ascii="DejaVu Sans Mono" w:hAnsi="DejaVu Sans Mono"/>
          <w:b w:val="0"/>
          <w:i w:val="0"/>
          <w:sz w:val="17"/>
        </w:rPr>
        <w:t>SchemeCPlanningPipelineDefinition.advance_​year</w:t>
      </w:r>
      <w:r>
        <w:rPr>
          <w:b w:val="0"/>
          <w:i w:val="0"/>
        </w:rPr>
        <w:t xml:space="preserve"> takes each successful project whose </w:t>
      </w:r>
      <w:r>
        <w:rPr>
          <w:rFonts w:ascii="DejaVu Sans Mono" w:hAnsi="DejaVu Sans Mono"/>
          <w:b w:val="0"/>
          <w:i w:val="0"/>
          <w:sz w:val="17"/>
        </w:rPr>
        <w:t>expected_​completion_​year≤state.year</w:t>
      </w:r>
      <w:r>
        <w:rPr>
          <w:b w:val="0"/>
          <w:i w:val="0"/>
        </w:rPr>
        <w:t>, adds its capacity and economic fields to the fleet, and removes it from the active pipeline. Later projects remain in the pipeline. Hydro projects enter operation when their site and hydrological inputs are complete. Failed projects contribute zero operating capacity.</w:t>
      </w:r>
    </w:p>
    <w:p>
      <w:r>
        <w:rPr>
          <w:b w:val="0"/>
          <w:i w:val="0"/>
        </w:rPr>
        <w:t xml:space="preserve">Dispatch produces </w:t>
      </w:r>
      <w:r>
        <w:rPr>
          <w:rFonts w:ascii="DejaVu Sans Mono" w:hAnsi="DejaVu Sans Mono"/>
          <w:b w:val="0"/>
          <w:i w:val="0"/>
          <w:sz w:val="17"/>
        </w:rPr>
        <w:t>market</w:t>
      </w:r>
      <w:r>
        <w:rPr>
          <w:b w:val="0"/>
          <w:i w:val="0"/>
        </w:rPr>
        <w:t xml:space="preserve">, the annual </w:t>
      </w:r>
      <w:r>
        <w:rPr>
          <w:rFonts w:ascii="DejaVu Sans Mono" w:hAnsi="DejaVu Sans Mono"/>
          <w:b w:val="0"/>
          <w:i w:val="0"/>
          <w:sz w:val="17"/>
        </w:rPr>
        <w:t>MarketYearResult</w:t>
      </w:r>
      <w:r>
        <w:rPr>
          <w:b w:val="0"/>
          <w:i w:val="0"/>
        </w:rPr>
        <w:t>. Its period summaries contain actual demand, accepted VRE, storage charge and discharge, blackout energy and prices; its asset accounts contain generated MWh and market income. The annual algorithm then computes technology expansion limits, investment quantities, planning admission and the next state in this order:</w:t>
      </w:r>
    </w:p>
    <w:p>
      <w:pPr>
        <w:keepLines/>
        <w:spacing w:line="276" w:lineRule="auto" w:after="160"/>
      </w:pPr>
      <w:r>
        <w:rPr>
          <w:rFonts w:ascii="DejaVu Sans Mono" w:hAnsi="DejaVu Sans Mono"/>
          <w:b w:val="0"/>
          <w:i w:val="0"/>
          <w:sz w:val="17"/>
        </w:rPr>
        <w:t>advanced = planning.advance_​year(run, state)</w:t>
        <w:br/>
        <w:t>model_input = psm_input_factory(run, advanced.operating_​state)</w:t>
        <w:br/>
        <w:t>market = psm.run(model_input)</w:t>
        <w:br/>
        <w:t>headroom = []</w:t>
        <w:br/>
        <w:t>for slot in sorted(expansion_​policies):</w:t>
        <w:br/>
        <w:t xml:space="preserve">    policy = expansion_​policies[slot]</w:t>
        <w:br/>
        <w:t xml:space="preserve">    headroom.append(policy.evaluate(run, advanced.operating_​state, market))</w:t>
        <w:br/>
        <w:t>investment_market = adapt_​market_​for_​investment(</w:t>
        <w:br/>
        <w:t xml:space="preserve">    market, advanced.operating_​state)</w:t>
        <w:br/>
        <w:t>decision = investment.decide(</w:t>
        <w:br/>
        <w:t xml:space="preserve">    run, advanced.operating_​state, investment_market, tuple(headroom))</w:t>
        <w:br/>
        <w:t>decision = inherit_​frozen_​zone_​shares(decision, advanced.operating_​state)</w:t>
        <w:br/>
        <w:t>admission = planning.admit_​projects(</w:t>
        <w:br/>
        <w:t xml:space="preserve">    run, advanced.operating_​state, decision.proposals)</w:t>
        <w:br/>
      </w:r>
    </w:p>
    <w:p>
      <w:r>
        <w:rPr>
          <w:b w:val="0"/>
          <w:i w:val="0"/>
        </w:rPr>
        <w:t xml:space="preserve">Here </w:t>
      </w:r>
      <w:r>
        <w:rPr>
          <w:rFonts w:ascii="DejaVu Sans Mono" w:hAnsi="DejaVu Sans Mono"/>
          <w:b w:val="0"/>
          <w:i w:val="0"/>
          <w:sz w:val="17"/>
        </w:rPr>
        <w:t>advanced.operating_​state</w:t>
      </w:r>
      <w:r>
        <w:rPr>
          <w:b w:val="0"/>
          <w:i w:val="0"/>
        </w:rPr>
        <w:t xml:space="preserve"> is the fleet available for the year, </w:t>
      </w:r>
      <w:r>
        <w:rPr>
          <w:rFonts w:ascii="DejaVu Sans Mono" w:hAnsi="DejaVu Sans Mono"/>
          <w:b w:val="0"/>
          <w:i w:val="0"/>
          <w:sz w:val="17"/>
        </w:rPr>
        <w:t>headroom</w:t>
      </w:r>
      <w:r>
        <w:rPr>
          <w:b w:val="0"/>
          <w:i w:val="0"/>
        </w:rPr>
        <w:t xml:space="preserve"> contains permitted additions in MW by technology, </w:t>
      </w:r>
      <w:r>
        <w:rPr>
          <w:rFonts w:ascii="DejaVu Sans Mono" w:hAnsi="DejaVu Sans Mono"/>
          <w:b w:val="0"/>
          <w:i w:val="0"/>
          <w:sz w:val="17"/>
        </w:rPr>
        <w:t>decision</w:t>
      </w:r>
      <w:r>
        <w:rPr>
          <w:b w:val="0"/>
          <w:i w:val="0"/>
        </w:rPr>
        <w:t xml:space="preserve"> contains new proposals and asset retirements, and </w:t>
      </w:r>
      <w:r>
        <w:rPr>
          <w:rFonts w:ascii="DejaVu Sans Mono" w:hAnsi="DejaVu Sans Mono"/>
          <w:b w:val="0"/>
          <w:i w:val="0"/>
          <w:sz w:val="17"/>
        </w:rPr>
        <w:t>admission.next_pipeline</w:t>
      </w:r>
      <w:r>
        <w:rPr>
          <w:b w:val="0"/>
          <w:i w:val="0"/>
        </w:rPr>
        <w:t xml:space="preserve"> contains continuing and newly admitted projects. The input factory applies Chapters 2–3 to the updated fleet; Chapters 4–5 and 7–8 define the selected dispatch calculation. The final state update is given below.</w:t>
      </w:r>
    </w:p>
    <w:p>
      <w:pPr>
        <w:pStyle w:val="Heading2"/>
      </w:pPr>
      <w:r>
        <w:rPr>
          <w:b w:val="0"/>
          <w:i w:val="0"/>
        </w:rPr>
        <w:t>Asset capital and annual system cost</w:t>
      </w:r>
    </w:p>
    <w:p>
      <w:r>
        <w:rPr>
          <w:b w:val="0"/>
          <w:i w:val="0"/>
        </w:rPr>
        <w:t xml:space="preserve">Asset capital is annualised over its economic lifetime with a capital-recovery factor. </w:t>
      </w:r>
      <w:r>
        <w:rPr>
          <w:rFonts w:ascii="DejaVu Sans Mono" w:hAnsi="DejaVu Sans Mono"/>
          <w:b w:val="0"/>
          <w:i w:val="0"/>
          <w:sz w:val="17"/>
        </w:rPr>
        <w:t>build_​asset_​economic_​extensions</w:t>
      </w:r>
      <w:r>
        <w:rPr>
          <w:b w:val="0"/>
          <w:i w:val="0"/>
        </w:rPr>
        <w:t xml:space="preserve"> reads </w:t>
      </w:r>
      <w:r>
        <w:rPr>
          <w:rFonts w:ascii="DejaVu Sans Mono" w:hAnsi="DejaVu Sans Mono"/>
          <w:b w:val="0"/>
          <w:i w:val="0"/>
          <w:sz w:val="17"/>
        </w:rPr>
        <w:t>total_capex</w:t>
      </w:r>
      <w:r>
        <w:rPr>
          <w:b w:val="0"/>
          <w:i w:val="0"/>
        </w:rPr>
        <w:t xml:space="preserve"> in GBP, </w:t>
      </w:r>
      <w:r>
        <w:rPr>
          <w:rFonts w:ascii="DejaVu Sans Mono" w:hAnsi="DejaVu Sans Mono"/>
          <w:b w:val="0"/>
          <w:i w:val="0"/>
          <w:sz w:val="17"/>
        </w:rPr>
        <w:t>life</w:t>
      </w:r>
      <w:r>
        <w:rPr>
          <w:b w:val="0"/>
          <w:i w:val="0"/>
        </w:rPr>
        <w:t xml:space="preserve"> in years and </w:t>
      </w:r>
      <w:r>
        <w:rPr>
          <w:rFonts w:ascii="DejaVu Sans Mono" w:hAnsi="DejaVu Sans Mono"/>
          <w:b w:val="0"/>
          <w:i w:val="0"/>
          <w:sz w:val="17"/>
        </w:rPr>
        <w:t>discount_rate</w:t>
      </w:r>
      <w:r>
        <w:rPr>
          <w:b w:val="0"/>
          <w:i w:val="0"/>
        </w:rPr>
        <w:t xml:space="preserve">, then sets </w:t>
      </w:r>
      <w:r>
        <w:rPr>
          <w:rFonts w:ascii="DejaVu Sans Mono" w:hAnsi="DejaVu Sans Mono"/>
          <w:b w:val="0"/>
          <w:i w:val="0"/>
          <w:sz w:val="17"/>
        </w:rPr>
        <w:t>annualized_​capital_​cost_​gbp=total_​capex×crf</w:t>
      </w:r>
      <w:r>
        <w:rPr>
          <w:b w:val="0"/>
          <w:i w:val="0"/>
        </w:rPr>
        <w:t xml:space="preserve">. The factor </w:t>
      </w:r>
      <w:r>
        <w:rPr>
          <w:rFonts w:ascii="DejaVu Sans Mono" w:hAnsi="DejaVu Sans Mono"/>
          <w:b w:val="0"/>
          <w:i w:val="0"/>
          <w:sz w:val="17"/>
        </w:rPr>
        <w:t>crf=capital_​recovery_​factor(discount_​rate,life)</w:t>
      </w:r>
      <w:r>
        <w:rPr>
          <w:b w:val="0"/>
          <w:i w:val="0"/>
        </w:rPr>
        <w:t xml:space="preserve"> uses the equation in Chapter 4; the default rate is 0.05. Generation capital is capacity times GBP/MW. Storage capital and fixed maintenance follow the technology catalogue and its declared power or energy basis in Chapter 2.</w:t>
      </w:r>
    </w:p>
    <w:p>
      <w:r>
        <w:rPr>
          <w:b w:val="0"/>
          <w:i w:val="0"/>
        </w:rPr>
        <w:t xml:space="preserve">Annual system cost sums the resource costs of operating assets. The dispatch result supplies </w:t>
      </w:r>
      <w:r>
        <w:rPr>
          <w:rFonts w:ascii="DejaVu Sans Mono" w:hAnsi="DejaVu Sans Mono"/>
          <w:b w:val="0"/>
          <w:i w:val="0"/>
          <w:sz w:val="17"/>
        </w:rPr>
        <w:t>total_​levelized_​capital_​cost_​gbp</w:t>
      </w:r>
      <w:r>
        <w:rPr>
          <w:b w:val="0"/>
          <w:i w:val="0"/>
        </w:rPr>
        <w:t xml:space="preserve">, containing annualised capital and fixed maintenance, and </w:t>
      </w:r>
      <w:r>
        <w:rPr>
          <w:rFonts w:ascii="DejaVu Sans Mono" w:hAnsi="DejaVu Sans Mono"/>
          <w:b w:val="0"/>
          <w:i w:val="0"/>
          <w:sz w:val="17"/>
        </w:rPr>
        <w:t>total_​operational_​cost_​gbp</w:t>
      </w:r>
      <w:r>
        <w:rPr>
          <w:b w:val="0"/>
          <w:i w:val="0"/>
        </w:rPr>
        <w:t xml:space="preserve">, containing physical operation. For Native, physical operation comprises the generation and import cost terms in Chapter 5, recorded blackout energy valued at </w:t>
      </w:r>
      <w:r>
        <w:rPr>
          <w:rFonts w:ascii="DejaVu Sans Mono" w:hAnsi="DejaVu Sans Mono"/>
          <w:b w:val="0"/>
          <w:i w:val="0"/>
          <w:sz w:val="17"/>
        </w:rPr>
        <w:t>market.voll_gbp_per_mwh</w:t>
      </w:r>
      <w:r>
        <w:rPr>
          <w:b w:val="0"/>
          <w:i w:val="0"/>
        </w:rPr>
        <w:t xml:space="preserve"> (default 17,000 GBP/MWh), and storage cycle depreciation. The restart cost used to rank a downward bid enters that bid's price calculation. Network asset capital and fixed maintenance enter the annual resource account when network expansion is selected.</w:t>
      </w:r>
    </w:p>
    <w:p>
      <w:r>
        <w:rPr>
          <w:b w:val="0"/>
          <w:i w:val="0"/>
        </w:rPr>
        <w:t xml:space="preserve">The system-cost account treats wind, solar and storage fixed maintenance as included in their levelised capital. Their separately recorded maintenance amounts are retained as memorandum items. Existing run-of-river capital recorded under </w:t>
      </w:r>
      <w:r>
        <w:rPr>
          <w:rFonts w:ascii="DejaVu Sans Mono" w:hAnsi="DejaVu Sans Mono"/>
          <w:b w:val="0"/>
          <w:i w:val="0"/>
          <w:sz w:val="17"/>
        </w:rPr>
        <w:t>existing_​stock_​compatibility_​capital_​gbp</w:t>
      </w:r>
      <w:r>
        <w:rPr>
          <w:b w:val="0"/>
          <w:i w:val="0"/>
        </w:rPr>
        <w:t xml:space="preserve"> is also a memorandum item. Thermal fixed maintenance and commissioned network resource costs enter the cost total.</w:t>
      </w:r>
    </w:p>
    <w:p>
      <w:r>
        <w:rPr>
          <w:rFonts w:ascii="DejaVu Sans Mono" w:hAnsi="DejaVu Sans Mono"/>
          <w:b w:val="0"/>
          <w:i w:val="0"/>
          <w:sz w:val="17"/>
        </w:rPr>
        <w:t>build_cem_cost_ledger</w:t>
      </w:r>
      <w:r>
        <w:rPr>
          <w:b w:val="0"/>
          <w:i w:val="0"/>
        </w:rPr>
        <w:t xml:space="preserve"> reads the supplied capital total as </w:t>
      </w:r>
      <w:r>
        <w:rPr>
          <w:rFonts w:ascii="DejaVu Sans Mono" w:hAnsi="DejaVu Sans Mono"/>
          <w:b w:val="0"/>
          <w:i w:val="0"/>
          <w:sz w:val="17"/>
        </w:rPr>
        <w:t>capital</w:t>
      </w:r>
      <w:r>
        <w:rPr>
          <w:b w:val="0"/>
          <w:i w:val="0"/>
        </w:rPr>
        <w:t xml:space="preserve"> and subtracts the two memorandum amounts as </w:t>
      </w:r>
      <w:r>
        <w:rPr>
          <w:rFonts w:ascii="DejaVu Sans Mono" w:hAnsi="DejaVu Sans Mono"/>
          <w:b w:val="0"/>
          <w:i w:val="0"/>
          <w:sz w:val="17"/>
        </w:rPr>
        <w:t>excluded</w:t>
      </w:r>
      <w:r>
        <w:rPr>
          <w:b w:val="0"/>
          <w:i w:val="0"/>
        </w:rPr>
        <w:t xml:space="preserve">. </w:t>
      </w:r>
      <w:r>
        <w:rPr>
          <w:rFonts w:ascii="DejaVu Sans Mono" w:hAnsi="DejaVu Sans Mono"/>
          <w:b w:val="0"/>
          <w:i w:val="0"/>
          <w:sz w:val="17"/>
        </w:rPr>
        <w:t>network_capex</w:t>
      </w:r>
      <w:r>
        <w:rPr>
          <w:b w:val="0"/>
          <w:i w:val="0"/>
        </w:rPr>
        <w:t xml:space="preserve"> and </w:t>
      </w:r>
      <w:r>
        <w:rPr>
          <w:rFonts w:ascii="DejaVu Sans Mono" w:hAnsi="DejaVu Sans Mono"/>
          <w:b w:val="0"/>
          <w:i w:val="0"/>
          <w:sz w:val="17"/>
        </w:rPr>
        <w:t>network_fom</w:t>
      </w:r>
      <w:r>
        <w:rPr>
          <w:b w:val="0"/>
          <w:i w:val="0"/>
        </w:rPr>
        <w:t xml:space="preserve"> are annual network capital and maintenance; </w:t>
      </w:r>
      <w:r>
        <w:rPr>
          <w:rFonts w:ascii="DejaVu Sans Mono" w:hAnsi="DejaVu Sans Mono"/>
          <w:b w:val="0"/>
          <w:i w:val="0"/>
          <w:sz w:val="17"/>
        </w:rPr>
        <w:t>operating_sum</w:t>
      </w:r>
      <w:r>
        <w:rPr>
          <w:b w:val="0"/>
          <w:i w:val="0"/>
        </w:rPr>
        <w:t xml:space="preserve"> is the sum of the named physical operating components. All costs below are GBP per model year. </w:t>
      </w:r>
      <w:r>
        <w:rPr>
          <w:rFonts w:ascii="DejaVu Sans Mono" w:hAnsi="DejaVu Sans Mono"/>
          <w:b w:val="0"/>
          <w:i w:val="0"/>
          <w:sz w:val="17"/>
        </w:rPr>
        <w:t>demand</w:t>
      </w:r>
      <w:r>
        <w:rPr>
          <w:b w:val="0"/>
          <w:i w:val="0"/>
        </w:rPr>
        <w:t xml:space="preserve">, </w:t>
      </w:r>
      <w:r>
        <w:rPr>
          <w:rFonts w:ascii="DejaVu Sans Mono" w:hAnsi="DejaVu Sans Mono"/>
          <w:b w:val="0"/>
          <w:i w:val="0"/>
          <w:sz w:val="17"/>
        </w:rPr>
        <w:t>blackout</w:t>
      </w:r>
      <w:r>
        <w:rPr>
          <w:b w:val="0"/>
          <w:i w:val="0"/>
        </w:rPr>
        <w:t xml:space="preserve"> and </w:t>
      </w:r>
      <w:r>
        <w:rPr>
          <w:rFonts w:ascii="DejaVu Sans Mono" w:hAnsi="DejaVu Sans Mono"/>
          <w:b w:val="0"/>
          <w:i w:val="0"/>
          <w:sz w:val="17"/>
        </w:rPr>
        <w:t>served</w:t>
      </w:r>
      <w:r>
        <w:rPr>
          <w:b w:val="0"/>
          <w:i w:val="0"/>
        </w:rPr>
        <w:t xml:space="preserve"> are annual MWh:</w:t>
      </w:r>
    </w:p>
    <w:p>
      <w:pPr>
        <w:keepLines/>
        <w:spacing w:line="276" w:lineRule="auto" w:after="160"/>
      </w:pPr>
      <w:r>
        <w:rPr>
          <w:rFonts w:ascii="DejaVu Sans Mono" w:hAnsi="DejaVu Sans Mono"/>
          <w:b w:val="0"/>
          <w:i w:val="0"/>
          <w:sz w:val="17"/>
        </w:rPr>
        <w:t>network_resource_cost = network_capex + network_fom</w:t>
        <w:br/>
        <w:t>non_network_capital = max(capital - network_resource_cost, 0)</w:t>
        <w:br/>
        <w:t>excluded = vre_storage_fom + compatibility</w:t>
        <w:br/>
        <w:t>headline_fleet_capital = max(non_network_capital - excluded, 0)</w:t>
        <w:br/>
        <w:t>headline_capital = capital - (non_network_capital - headline_fleet_capital)</w:t>
        <w:br/>
        <w:t>system_cost = headline_capital + operating_sum</w:t>
        <w:br/>
        <w:t>served = max(demand - blackout - a2_​hidden_​unserved_​mwh(market), 0)</w:t>
        <w:br/>
      </w:r>
    </w:p>
    <w:p>
      <w:r>
        <w:rPr>
          <w:b w:val="0"/>
          <w:i w:val="0"/>
        </w:rPr>
        <w:t xml:space="preserve">The variables </w:t>
      </w:r>
      <w:r>
        <w:rPr>
          <w:rFonts w:ascii="DejaVu Sans Mono" w:hAnsi="DejaVu Sans Mono"/>
          <w:b w:val="0"/>
          <w:i w:val="0"/>
          <w:sz w:val="17"/>
        </w:rPr>
        <w:t>vre_storage_fom</w:t>
      </w:r>
      <w:r>
        <w:rPr>
          <w:b w:val="0"/>
          <w:i w:val="0"/>
        </w:rPr>
        <w:t xml:space="preserve"> and </w:t>
      </w:r>
      <w:r>
        <w:rPr>
          <w:rFonts w:ascii="DejaVu Sans Mono" w:hAnsi="DejaVu Sans Mono"/>
          <w:b w:val="0"/>
          <w:i w:val="0"/>
          <w:sz w:val="17"/>
        </w:rPr>
        <w:t>compatibility</w:t>
      </w:r>
      <w:r>
        <w:rPr>
          <w:b w:val="0"/>
          <w:i w:val="0"/>
        </w:rPr>
        <w:t xml:space="preserve"> hold the wind/solar/storage maintenance memorandum and the existing run-of-river capital memorandum respectively. </w:t>
      </w:r>
      <w:r>
        <w:rPr>
          <w:rFonts w:ascii="DejaVu Sans Mono" w:hAnsi="DejaVu Sans Mono"/>
          <w:b w:val="0"/>
          <w:i w:val="0"/>
          <w:sz w:val="17"/>
        </w:rPr>
        <w:t>a2_hidden_unserved_mwh</w:t>
      </w:r>
      <w:r>
        <w:rPr>
          <w:b w:val="0"/>
          <w:i w:val="0"/>
        </w:rPr>
        <w:t xml:space="preserve"> reads additional unserved energy from the annual energy-balance account; it is zero when that account records zero additional shortfall. The output </w:t>
      </w:r>
      <w:r>
        <w:rPr>
          <w:rFonts w:ascii="DejaVu Sans Mono" w:hAnsi="DejaVu Sans Mono"/>
          <w:b w:val="0"/>
          <w:i w:val="0"/>
          <w:sz w:val="17"/>
        </w:rPr>
        <w:t>cem_​system_​cost_​gbp=system_​cost</w:t>
      </w:r>
      <w:r>
        <w:rPr>
          <w:b w:val="0"/>
          <w:i w:val="0"/>
        </w:rPr>
        <w:t xml:space="preserve">, and </w:t>
      </w:r>
      <w:r>
        <w:rPr>
          <w:rFonts w:ascii="DejaVu Sans Mono" w:hAnsi="DejaVu Sans Mono"/>
          <w:b w:val="0"/>
          <w:i w:val="0"/>
          <w:sz w:val="17"/>
        </w:rPr>
        <w:t>cem_​system_​cost_​gbp_​per_​mwh_​served=system_​cost/​served</w:t>
      </w:r>
      <w:r>
        <w:rPr>
          <w:b w:val="0"/>
          <w:i w:val="0"/>
        </w:rPr>
        <w:t xml:space="preserve"> for positive served demand. At zero served demand, cost per MWh is left empty. Market payments, policy transfers, construction commitments and residual values have separate accounts; the operating-resource sum uses the physical expenditure terms above.</w:t>
      </w:r>
    </w:p>
    <w:p>
      <w:pPr>
        <w:pStyle w:val="Heading2"/>
      </w:pPr>
      <w:r>
        <w:rPr>
          <w:b w:val="0"/>
          <w:i w:val="0"/>
        </w:rPr>
        <w:t>Annual income and investment groups</w:t>
      </w:r>
    </w:p>
    <w:p>
      <w:r>
        <w:rPr>
          <w:b w:val="0"/>
          <w:i w:val="0"/>
        </w:rPr>
        <w:t xml:space="preserve">Investment groups combine positive-capacity assets with the same owner, technology and region. Owner identity comes from </w:t>
      </w:r>
      <w:r>
        <w:rPr>
          <w:rFonts w:ascii="DejaVu Sans Mono" w:hAnsi="DejaVu Sans Mono"/>
          <w:b w:val="0"/>
          <w:i w:val="0"/>
          <w:sz w:val="17"/>
        </w:rPr>
        <w:t>investment_owner_id</w:t>
      </w:r>
      <w:r>
        <w:rPr>
          <w:b w:val="0"/>
          <w:i w:val="0"/>
        </w:rPr>
        <w:t xml:space="preserve">, then </w:t>
      </w:r>
      <w:r>
        <w:rPr>
          <w:rFonts w:ascii="DejaVu Sans Mono" w:hAnsi="DejaVu Sans Mono"/>
          <w:b w:val="0"/>
          <w:i w:val="0"/>
          <w:sz w:val="17"/>
        </w:rPr>
        <w:t>source_agent_id</w:t>
      </w:r>
      <w:r>
        <w:rPr>
          <w:b w:val="0"/>
          <w:i w:val="0"/>
        </w:rPr>
        <w:t xml:space="preserve">, then the existing asset's identifier. An asset marked </w:t>
      </w:r>
      <w:r>
        <w:rPr>
          <w:rFonts w:ascii="DejaVu Sans Mono" w:hAnsi="DejaVu Sans Mono"/>
          <w:b w:val="0"/>
          <w:i w:val="0"/>
          <w:sz w:val="17"/>
        </w:rPr>
        <w:t>investment_​eligible=False</w:t>
      </w:r>
      <w:r>
        <w:rPr>
          <w:b w:val="0"/>
          <w:i w:val="0"/>
        </w:rPr>
        <w:t xml:space="preserve"> remains in dispatch and contributes zero endogenous investment. </w:t>
      </w:r>
      <w:r>
        <w:rPr>
          <w:rFonts w:ascii="DejaVu Sans Mono" w:hAnsi="DejaVu Sans Mono"/>
          <w:b w:val="0"/>
          <w:i w:val="0"/>
          <w:sz w:val="17"/>
        </w:rPr>
        <w:t>SchemeCAgentInvestmentDefinition.decide</w:t>
      </w:r>
      <w:r>
        <w:rPr>
          <w:b w:val="0"/>
          <w:i w:val="0"/>
        </w:rPr>
        <w:t xml:space="preserve"> processes groups in sorted </w:t>
      </w:r>
      <w:r>
        <w:rPr>
          <w:rFonts w:ascii="DejaVu Sans Mono" w:hAnsi="DejaVu Sans Mono"/>
          <w:b w:val="0"/>
          <w:i w:val="0"/>
          <w:sz w:val="17"/>
        </w:rPr>
        <w:t>(owner,technology,region)</w:t>
      </w:r>
      <w:r>
        <w:rPr>
          <w:b w:val="0"/>
          <w:i w:val="0"/>
        </w:rPr>
        <w:t xml:space="preserve"> order.</w:t>
      </w:r>
    </w:p>
    <w:p>
      <w:r>
        <w:rPr>
          <w:b w:val="0"/>
          <w:i w:val="0"/>
        </w:rPr>
        <w:t xml:space="preserve">The investment calculation uses the annual market income attributable to each asset. Native distributes an agent's income over its mapped assets as specified in Chapter 5. For an owner-level settlement, </w:t>
      </w:r>
      <w:r>
        <w:rPr>
          <w:rFonts w:ascii="DejaVu Sans Mono" w:hAnsi="DejaVu Sans Mono"/>
          <w:b w:val="0"/>
          <w:i w:val="0"/>
          <w:sz w:val="17"/>
        </w:rPr>
        <w:t>adapt_​market_​for_​investment</w:t>
      </w:r>
      <w:r>
        <w:rPr>
          <w:b w:val="0"/>
          <w:i w:val="0"/>
        </w:rPr>
        <w:t xml:space="preserve"> allocates the owner's </w:t>
      </w:r>
      <w:r>
        <w:rPr>
          <w:rFonts w:ascii="DejaVu Sans Mono" w:hAnsi="DejaVu Sans Mono"/>
          <w:b w:val="0"/>
          <w:i w:val="0"/>
          <w:sz w:val="17"/>
        </w:rPr>
        <w:t>income</w:t>
      </w:r>
      <w:r>
        <w:rPr>
          <w:b w:val="0"/>
          <w:i w:val="0"/>
        </w:rPr>
        <w:t xml:space="preserve"> in proportion to operating MW: </w:t>
      </w:r>
      <w:r>
        <w:rPr>
          <w:rFonts w:ascii="DejaVu Sans Mono" w:hAnsi="DejaVu Sans Mono"/>
          <w:b w:val="0"/>
          <w:i w:val="0"/>
          <w:sz w:val="17"/>
        </w:rPr>
        <w:t>allocated[asset.asset_​id]=income×asset.capacity_​mw/​capacity</w:t>
      </w:r>
      <w:r>
        <w:rPr>
          <w:b w:val="0"/>
          <w:i w:val="0"/>
        </w:rPr>
        <w:t xml:space="preserve">, where </w:t>
      </w:r>
      <w:r>
        <w:rPr>
          <w:rFonts w:ascii="DejaVu Sans Mono" w:hAnsi="DejaVu Sans Mono"/>
          <w:b w:val="0"/>
          <w:i w:val="0"/>
          <w:sz w:val="17"/>
        </w:rPr>
        <w:t>capacity</w:t>
      </w:r>
      <w:r>
        <w:rPr>
          <w:b w:val="0"/>
          <w:i w:val="0"/>
        </w:rPr>
        <w:t xml:space="preserve"> is that owner's summed MW. Direct asset-level accounts enter the investment calculation as supplied.</w:t>
      </w:r>
    </w:p>
    <w:p>
      <w:r>
        <w:rPr>
          <w:b w:val="0"/>
          <w:i w:val="0"/>
        </w:rPr>
        <w:t xml:space="preserve">Thermal investment income deducts generated electricity times generation, fuel, carbon and unit-time cost. The asset's </w:t>
      </w:r>
      <w:r>
        <w:rPr>
          <w:rFonts w:ascii="DejaVu Sans Mono" w:hAnsi="DejaVu Sans Mono"/>
          <w:b w:val="0"/>
          <w:i w:val="0"/>
          <w:sz w:val="17"/>
        </w:rPr>
        <w:t>agent_cashflow</w:t>
      </w:r>
      <w:r>
        <w:rPr>
          <w:b w:val="0"/>
          <w:i w:val="0"/>
        </w:rPr>
        <w:t xml:space="preserve"> row supplies </w:t>
      </w:r>
      <w:r>
        <w:rPr>
          <w:rFonts w:ascii="DejaVu Sans Mono" w:hAnsi="DejaVu Sans Mono"/>
          <w:b w:val="0"/>
          <w:i w:val="0"/>
          <w:sz w:val="17"/>
        </w:rPr>
        <w:t>generated_mwh</w:t>
      </w:r>
      <w:r>
        <w:rPr>
          <w:b w:val="0"/>
          <w:i w:val="0"/>
        </w:rPr>
        <w:t xml:space="preserve"> and the four costs in GBP/MWh. Their product gives </w:t>
      </w:r>
      <w:r>
        <w:rPr>
          <w:rFonts w:ascii="DejaVu Sans Mono" w:hAnsi="DejaVu Sans Mono"/>
          <w:b w:val="0"/>
          <w:i w:val="0"/>
          <w:sz w:val="17"/>
        </w:rPr>
        <w:t>operating_cost_gbp</w:t>
      </w:r>
      <w:r>
        <w:rPr>
          <w:b w:val="0"/>
          <w:i w:val="0"/>
        </w:rPr>
        <w:t xml:space="preserve">; </w:t>
      </w:r>
      <w:r>
        <w:rPr>
          <w:rFonts w:ascii="DejaVu Sans Mono" w:hAnsi="DejaVu Sans Mono"/>
          <w:b w:val="0"/>
          <w:i w:val="0"/>
          <w:sz w:val="17"/>
        </w:rPr>
        <w:t>operational</w:t>
      </w:r>
      <w:r>
        <w:rPr>
          <w:b w:val="0"/>
          <w:i w:val="0"/>
        </w:rPr>
        <w:t xml:space="preserve"> is the sum over the group's assets. Wind, solar and the three battery types and hydrogen use </w:t>
      </w:r>
      <w:r>
        <w:rPr>
          <w:rFonts w:ascii="DejaVu Sans Mono" w:hAnsi="DejaVu Sans Mono"/>
          <w:b w:val="0"/>
          <w:i w:val="0"/>
          <w:sz w:val="17"/>
        </w:rPr>
        <w:t>operational=0</w:t>
      </w:r>
      <w:r>
        <w:rPr>
          <w:b w:val="0"/>
          <w:i w:val="0"/>
        </w:rPr>
        <w:t>. Thus storage investment uses booked ahead and balancing income, including ahead remuneration retained during buy-back. Surplus charging has zero purchase cost, and cycle depreciation and fixed maintenance enter their respective resource-cost accounts above.</w:t>
      </w:r>
    </w:p>
    <w:p>
      <w:pPr>
        <w:keepNext/>
      </w:pPr>
      <w:r>
        <w:rPr>
          <w:b w:val="0"/>
          <w:i w:val="0"/>
        </w:rPr>
        <w:t xml:space="preserve">For each group, </w:t>
      </w:r>
      <w:r>
        <w:rPr>
          <w:rFonts w:ascii="DejaVu Sans Mono" w:hAnsi="DejaVu Sans Mono"/>
          <w:b w:val="0"/>
          <w:i w:val="0"/>
          <w:sz w:val="17"/>
        </w:rPr>
        <w:t>capacity</w:t>
      </w:r>
      <w:r>
        <w:rPr>
          <w:b w:val="0"/>
          <w:i w:val="0"/>
        </w:rPr>
        <w:t xml:space="preserve"> sums operating MW, </w:t>
      </w:r>
      <w:r>
        <w:rPr>
          <w:rFonts w:ascii="DejaVu Sans Mono" w:hAnsi="DejaVu Sans Mono"/>
          <w:b w:val="0"/>
          <w:i w:val="0"/>
          <w:sz w:val="17"/>
        </w:rPr>
        <w:t>income</w:t>
      </w:r>
      <w:r>
        <w:rPr>
          <w:b w:val="0"/>
          <w:i w:val="0"/>
        </w:rPr>
        <w:t xml:space="preserve"> sums annual GBP income and </w:t>
      </w:r>
      <w:r>
        <w:rPr>
          <w:rFonts w:ascii="DejaVu Sans Mono" w:hAnsi="DejaVu Sans Mono"/>
          <w:b w:val="0"/>
          <w:i w:val="0"/>
          <w:sz w:val="17"/>
        </w:rPr>
        <w:t>replacement</w:t>
      </w:r>
      <w:r>
        <w:rPr>
          <w:b w:val="0"/>
          <w:i w:val="0"/>
        </w:rPr>
        <w:t xml:space="preserve"> sums </w:t>
      </w:r>
      <w:r>
        <w:rPr>
          <w:rFonts w:ascii="DejaVu Sans Mono" w:hAnsi="DejaVu Sans Mono"/>
          <w:b w:val="0"/>
          <w:i w:val="0"/>
          <w:sz w:val="17"/>
        </w:rPr>
        <w:t>total_capex_gbp</w:t>
      </w:r>
      <w:r>
        <w:rPr>
          <w:b w:val="0"/>
          <w:i w:val="0"/>
        </w:rPr>
        <w:t xml:space="preserve">. Unit capital cost </w:t>
      </w:r>
      <w:r>
        <w:rPr>
          <w:rFonts w:ascii="DejaVu Sans Mono" w:hAnsi="DejaVu Sans Mono"/>
          <w:b w:val="0"/>
          <w:i w:val="0"/>
          <w:sz w:val="17"/>
        </w:rPr>
        <w:t>cost_per_mw</w:t>
      </w:r>
      <w:r>
        <w:rPr>
          <w:b w:val="0"/>
          <w:i w:val="0"/>
        </w:rPr>
        <w:t xml:space="preserve"> is GBP/MW, </w:t>
      </w:r>
      <w:r>
        <w:rPr>
          <w:rFonts w:ascii="DejaVu Sans Mono" w:hAnsi="DejaVu Sans Mono"/>
          <w:b w:val="0"/>
          <w:i w:val="0"/>
          <w:sz w:val="17"/>
        </w:rPr>
        <w:t>roi</w:t>
      </w:r>
      <w:r>
        <w:rPr>
          <w:b w:val="0"/>
          <w:i w:val="0"/>
        </w:rPr>
        <w:t xml:space="preserve"> is annual net income divided by capital, and </w:t>
      </w:r>
      <w:r>
        <w:rPr>
          <w:rFonts w:ascii="DejaVu Sans Mono" w:hAnsi="DejaVu Sans Mono"/>
          <w:b w:val="0"/>
          <w:i w:val="0"/>
          <w:sz w:val="17"/>
        </w:rPr>
        <w:t>payback</w:t>
      </w:r>
      <w:r>
        <w:rPr>
          <w:b w:val="0"/>
          <w:i w:val="0"/>
        </w:rPr>
        <w:t xml:space="preserve"> is years:</w:t>
      </w:r>
    </w:p>
    <w:p>
      <w:pPr>
        <w:spacing w:after="160"/>
        <w:jc w:val="center"/>
      </w:pPr>
      <w:r>
        <w:drawing>
          <wp:inline xmlns:a="http://schemas.openxmlformats.org/drawingml/2006/main" xmlns:pic="http://schemas.openxmlformats.org/drawingml/2006/picture">
            <wp:extent cx="3564026" cy="1085896"/>
            <wp:docPr id="106" name="Picture 106"/>
            <wp:cNvGraphicFramePr>
              <a:graphicFrameLocks noChangeAspect="1"/>
            </wp:cNvGraphicFramePr>
            <a:graphic>
              <a:graphicData uri="http://schemas.openxmlformats.org/drawingml/2006/picture">
                <pic:pic>
                  <pic:nvPicPr>
                    <pic:cNvPr id="0" name="eq-106.png"/>
                    <pic:cNvPicPr/>
                  </pic:nvPicPr>
                  <pic:blipFill>
                    <a:blip r:embed="rId109"/>
                    <a:stretch>
                      <a:fillRect/>
                    </a:stretch>
                  </pic:blipFill>
                  <pic:spPr>
                    <a:xfrm>
                      <a:off x="0" y="0"/>
                      <a:ext cx="3564026" cy="1085896"/>
                    </a:xfrm>
                    <a:prstGeom prst="rect"/>
                  </pic:spPr>
                </pic:pic>
              </a:graphicData>
            </a:graphic>
          </wp:inline>
        </w:drawing>
      </w:r>
    </w:p>
    <w:p>
      <w:r>
        <w:rPr>
          <w:b w:val="0"/>
          <w:i w:val="0"/>
        </w:rPr>
        <w:t xml:space="preserve">Zero replacement capital gives </w:t>
      </w:r>
      <w:r>
        <w:rPr>
          <w:rFonts w:ascii="DejaVu Sans Mono" w:hAnsi="DejaVu Sans Mono"/>
          <w:b w:val="0"/>
          <w:i w:val="0"/>
          <w:sz w:val="17"/>
        </w:rPr>
        <w:t>roi=0</w:t>
      </w:r>
      <w:r>
        <w:rPr>
          <w:b w:val="0"/>
          <w:i w:val="0"/>
        </w:rPr>
        <w:t xml:space="preserve">. Thermal </w:t>
      </w:r>
      <w:r>
        <w:rPr>
          <w:rFonts w:ascii="DejaVu Sans Mono" w:hAnsi="DejaVu Sans Mono"/>
          <w:b w:val="0"/>
          <w:i w:val="0"/>
          <w:sz w:val="17"/>
        </w:rPr>
        <w:t>net</w:t>
      </w:r>
      <w:r>
        <w:rPr>
          <w:b w:val="0"/>
          <w:i w:val="0"/>
        </w:rPr>
        <w:t xml:space="preserve"> is set to zero when </w:t>
      </w:r>
      <w:r>
        <w:rPr>
          <w:rFonts w:ascii="DejaVu Sans Mono" w:hAnsi="DejaVu Sans Mono"/>
          <w:b w:val="0"/>
          <w:i w:val="0"/>
          <w:sz w:val="17"/>
        </w:rPr>
        <w:t>abs(net)≤10⁻⁹×max(abs(income),operational)</w:t>
      </w:r>
      <w:r>
        <w:rPr>
          <w:b w:val="0"/>
          <w:i w:val="0"/>
        </w:rPr>
        <w:t xml:space="preserve">, absorbing the difference between sums of the same cashflows. </w:t>
      </w:r>
      <w:r>
        <w:rPr>
          <w:rFonts w:ascii="DejaVu Sans Mono" w:hAnsi="DejaVu Sans Mono"/>
          <w:b w:val="0"/>
          <w:i w:val="0"/>
          <w:sz w:val="17"/>
        </w:rPr>
        <w:t>preferred</w:t>
      </w:r>
      <w:r>
        <w:rPr>
          <w:b w:val="0"/>
          <w:i w:val="0"/>
        </w:rPr>
        <w:t xml:space="preserve"> is the largest member </w:t>
      </w:r>
      <w:r>
        <w:rPr>
          <w:rFonts w:ascii="DejaVu Sans Mono" w:hAnsi="DejaVu Sans Mono"/>
          <w:b w:val="0"/>
          <w:i w:val="0"/>
          <w:sz w:val="17"/>
        </w:rPr>
        <w:t>preferred_rate</w:t>
      </w:r>
      <w:r>
        <w:rPr>
          <w:b w:val="0"/>
          <w:i w:val="0"/>
        </w:rPr>
        <w:t xml:space="preserve">, </w:t>
      </w:r>
      <w:r>
        <w:rPr>
          <w:rFonts w:ascii="DejaVu Sans Mono" w:hAnsi="DejaVu Sans Mono"/>
          <w:b w:val="0"/>
          <w:i w:val="0"/>
          <w:sz w:val="17"/>
        </w:rPr>
        <w:t>life</w:t>
      </w:r>
      <w:r>
        <w:rPr>
          <w:b w:val="0"/>
          <w:i w:val="0"/>
        </w:rPr>
        <w:t xml:space="preserve"> is the shortest member </w:t>
      </w:r>
      <w:r>
        <w:rPr>
          <w:rFonts w:ascii="DejaVu Sans Mono" w:hAnsi="DejaVu Sans Mono"/>
          <w:b w:val="0"/>
          <w:i w:val="0"/>
          <w:sz w:val="17"/>
        </w:rPr>
        <w:t>economic_lifetime_years</w:t>
      </w:r>
      <w:r>
        <w:rPr>
          <w:b w:val="0"/>
          <w:i w:val="0"/>
        </w:rPr>
        <w:t xml:space="preserve">, and </w:t>
      </w:r>
      <w:r>
        <w:rPr>
          <w:rFonts w:ascii="DejaVu Sans Mono" w:hAnsi="DejaVu Sans Mono"/>
          <w:b w:val="0"/>
          <w:i w:val="0"/>
          <w:sz w:val="17"/>
        </w:rPr>
        <w:t>target_payback</w:t>
      </w:r>
      <w:r>
        <w:rPr>
          <w:b w:val="0"/>
          <w:i w:val="0"/>
        </w:rPr>
        <w:t xml:space="preserve"> is the shortest member </w:t>
      </w:r>
      <w:r>
        <w:rPr>
          <w:rFonts w:ascii="DejaVu Sans Mono" w:hAnsi="DejaVu Sans Mono"/>
          <w:b w:val="0"/>
          <w:i w:val="0"/>
          <w:sz w:val="17"/>
        </w:rPr>
        <w:t>target_payback_years</w:t>
      </w:r>
      <w:r>
        <w:rPr>
          <w:b w:val="0"/>
          <w:i w:val="0"/>
        </w:rPr>
        <w:t xml:space="preserve">. Missing or zero values use 0.08, 25 years and </w:t>
      </w:r>
      <w:r>
        <w:rPr>
          <w:rFonts w:ascii="DejaVu Sans Mono" w:hAnsi="DejaVu Sans Mono"/>
          <w:b w:val="0"/>
          <w:i w:val="0"/>
          <w:sz w:val="17"/>
        </w:rPr>
        <w:t>life</w:t>
      </w:r>
      <w:r>
        <w:rPr>
          <w:b w:val="0"/>
          <w:i w:val="0"/>
        </w:rPr>
        <w:t xml:space="preserve"> respectively. The initial default asset construction sets biomass, CCGT and OCGT target payback to 25 years. Other initial values are given in Chapter 2. The decision compares the annual input amounts directly through </w:t>
      </w:r>
      <w:r>
        <w:rPr>
          <w:rFonts w:ascii="DejaVu Sans Mono" w:hAnsi="DejaVu Sans Mono"/>
          <w:b w:val="0"/>
          <w:i w:val="0"/>
          <w:sz w:val="17"/>
        </w:rPr>
        <w:t>roi</w:t>
      </w:r>
      <w:r>
        <w:rPr>
          <w:b w:val="0"/>
          <w:i w:val="0"/>
        </w:rPr>
        <w:t xml:space="preserve"> and </w:t>
      </w:r>
      <w:r>
        <w:rPr>
          <w:rFonts w:ascii="DejaVu Sans Mono" w:hAnsi="DejaVu Sans Mono"/>
          <w:b w:val="0"/>
          <w:i w:val="0"/>
          <w:sz w:val="17"/>
        </w:rPr>
        <w:t>payback</w:t>
      </w:r>
      <w:r>
        <w:rPr>
          <w:b w:val="0"/>
          <w:i w:val="0"/>
        </w:rPr>
        <w:t>.</w:t>
      </w:r>
    </w:p>
    <w:p>
      <w:pPr>
        <w:pStyle w:val="Heading2"/>
      </w:pPr>
      <w:r>
        <w:rPr>
          <w:b w:val="0"/>
          <w:i w:val="0"/>
        </w:rPr>
        <w:t>Annual wind and solar expansion limits</w:t>
      </w:r>
    </w:p>
    <w:p>
      <w:pPr>
        <w:keepNext/>
      </w:pPr>
      <w:r>
        <w:rPr>
          <w:b w:val="0"/>
          <w:i w:val="0"/>
        </w:rPr>
        <w:t xml:space="preserve">Wind and solar expansion is bounded by peak demand and the technology's available-output profile. In </w:t>
      </w:r>
      <w:r>
        <w:rPr>
          <w:rFonts w:ascii="DejaVu Sans Mono" w:hAnsi="DejaVu Sans Mono"/>
          <w:b w:val="0"/>
          <w:i w:val="0"/>
          <w:sz w:val="17"/>
        </w:rPr>
        <w:t>canonical_psm_data</w:t>
      </w:r>
      <w:r>
        <w:rPr>
          <w:b w:val="0"/>
          <w:i w:val="0"/>
        </w:rPr>
        <w:t xml:space="preserve">, </w:t>
      </w:r>
      <w:r>
        <w:rPr>
          <w:rFonts w:ascii="DejaVu Sans Mono" w:hAnsi="DejaVu Sans Mono"/>
          <w:b w:val="0"/>
          <w:i w:val="0"/>
          <w:sz w:val="17"/>
        </w:rPr>
        <w:t>demand</w:t>
      </w:r>
      <w:r>
        <w:rPr>
          <w:b w:val="0"/>
          <w:i w:val="0"/>
        </w:rPr>
        <w:t xml:space="preserve"> is the half-hour energy demand in MWh, </w:t>
      </w:r>
      <w:r>
        <w:rPr>
          <w:rFonts w:ascii="DejaVu Sans Mono" w:hAnsi="DejaVu Sans Mono"/>
          <w:b w:val="0"/>
          <w:i w:val="0"/>
          <w:sz w:val="17"/>
        </w:rPr>
        <w:t>period_hours=0.5</w:t>
      </w:r>
      <w:r>
        <w:rPr>
          <w:b w:val="0"/>
          <w:i w:val="0"/>
        </w:rPr>
        <w:t xml:space="preserve">, </w:t>
      </w:r>
      <w:r>
        <w:rPr>
          <w:rFonts w:ascii="DejaVu Sans Mono" w:hAnsi="DejaVu Sans Mono"/>
          <w:b w:val="0"/>
          <w:i w:val="0"/>
          <w:sz w:val="17"/>
        </w:rPr>
        <w:t>availability</w:t>
      </w:r>
      <w:r>
        <w:rPr>
          <w:b w:val="0"/>
          <w:i w:val="0"/>
        </w:rPr>
        <w:t xml:space="preserve"> is the dimensionless technology profile, and </w:t>
      </w:r>
      <w:r>
        <w:rPr>
          <w:rFonts w:ascii="DejaVu Sans Mono" w:hAnsi="DejaVu Sans Mono"/>
          <w:b w:val="0"/>
          <w:i w:val="0"/>
          <w:sz w:val="17"/>
        </w:rPr>
        <w:t>capacity_​by_​technology[technology]</w:t>
      </w:r>
      <w:r>
        <w:rPr>
          <w:b w:val="0"/>
          <w:i w:val="0"/>
        </w:rPr>
        <w:t xml:space="preserve"> is its operating MW. The input uses the investment profiles prepared in Chapter 3. The maximum profile value is </w:t>
      </w:r>
      <w:r>
        <w:rPr>
          <w:rFonts w:ascii="DejaVu Sans Mono" w:hAnsi="DejaVu Sans Mono"/>
          <w:b w:val="0"/>
          <w:i w:val="0"/>
          <w:sz w:val="17"/>
        </w:rPr>
        <w:t>peak</w:t>
      </w:r>
      <w:r>
        <w:rPr>
          <w:b w:val="0"/>
          <w:i w:val="0"/>
        </w:rPr>
        <w:t>, and additional capacity headroom is:</w:t>
      </w:r>
    </w:p>
    <w:p>
      <w:pPr>
        <w:spacing w:after="160"/>
        <w:jc w:val="center"/>
      </w:pPr>
      <w:r>
        <w:drawing>
          <wp:inline xmlns:a="http://schemas.openxmlformats.org/drawingml/2006/main" xmlns:pic="http://schemas.openxmlformats.org/drawingml/2006/picture">
            <wp:extent cx="5312968" cy="1191074"/>
            <wp:docPr id="107" name="Picture 107"/>
            <wp:cNvGraphicFramePr>
              <a:graphicFrameLocks noChangeAspect="1"/>
            </wp:cNvGraphicFramePr>
            <a:graphic>
              <a:graphicData uri="http://schemas.openxmlformats.org/drawingml/2006/picture">
                <pic:pic>
                  <pic:nvPicPr>
                    <pic:cNvPr id="0" name="eq-107.png"/>
                    <pic:cNvPicPr/>
                  </pic:nvPicPr>
                  <pic:blipFill>
                    <a:blip r:embed="rId110"/>
                    <a:stretch>
                      <a:fillRect/>
                    </a:stretch>
                  </pic:blipFill>
                  <pic:spPr>
                    <a:xfrm>
                      <a:off x="0" y="0"/>
                      <a:ext cx="5312968" cy="1191074"/>
                    </a:xfrm>
                    <a:prstGeom prst="rect"/>
                  </pic:spPr>
                </pic:pic>
              </a:graphicData>
            </a:graphic>
          </wp:inline>
        </w:drawing>
      </w:r>
    </w:p>
    <w:p>
      <w:r>
        <w:rPr>
          <w:rFonts w:ascii="DejaVu Sans Mono" w:hAnsi="DejaVu Sans Mono"/>
          <w:b w:val="0"/>
          <w:i w:val="0"/>
          <w:sz w:val="17"/>
        </w:rPr>
        <w:t>SchemeCVREExpansionPolicyDefinition.evaluate</w:t>
      </w:r>
      <w:r>
        <w:rPr>
          <w:b w:val="0"/>
          <w:i w:val="0"/>
        </w:rPr>
        <w:t xml:space="preserve"> reads </w:t>
      </w:r>
      <w:r>
        <w:rPr>
          <w:rFonts w:ascii="DejaVu Sans Mono" w:hAnsi="DejaVu Sans Mono"/>
          <w:b w:val="0"/>
          <w:i w:val="0"/>
          <w:sz w:val="17"/>
        </w:rPr>
        <w:t>fraction</w:t>
      </w:r>
      <w:r>
        <w:rPr>
          <w:b w:val="0"/>
          <w:i w:val="0"/>
        </w:rPr>
        <w:t xml:space="preserve"> from </w:t>
      </w:r>
      <w:r>
        <w:rPr>
          <w:rFonts w:ascii="DejaVu Sans Mono" w:hAnsi="DejaVu Sans Mono"/>
          <w:b w:val="0"/>
          <w:i w:val="0"/>
          <w:sz w:val="17"/>
        </w:rPr>
        <w:t>expansion.vre_​cap_​fraction</w:t>
      </w:r>
      <w:r>
        <w:rPr>
          <w:b w:val="0"/>
          <w:i w:val="0"/>
        </w:rPr>
        <w:t xml:space="preserve">, default 0.20, and returns </w:t>
      </w:r>
      <w:r>
        <w:rPr>
          <w:rFonts w:ascii="DejaVu Sans Mono" w:hAnsi="DejaVu Sans Mono"/>
          <w:b w:val="0"/>
          <w:i w:val="0"/>
          <w:sz w:val="17"/>
        </w:rPr>
        <w:t>limits</w:t>
      </w:r>
      <w:r>
        <w:rPr>
          <w:b w:val="0"/>
          <w:i w:val="0"/>
        </w:rPr>
        <w:t xml:space="preserve"> in MW. For a 1,000 MW peak demand, </w:t>
      </w:r>
      <w:r>
        <w:rPr>
          <w:rFonts w:ascii="DejaVu Sans Mono" w:hAnsi="DejaVu Sans Mono"/>
          <w:b w:val="0"/>
          <w:i w:val="0"/>
          <w:sz w:val="17"/>
        </w:rPr>
        <w:t>peak=0.8</w:t>
      </w:r>
      <w:r>
        <w:rPr>
          <w:b w:val="0"/>
          <w:i w:val="0"/>
        </w:rPr>
        <w:t xml:space="preserve"> and 300 MW operating capacity, </w:t>
      </w:r>
      <w:r>
        <w:rPr>
          <w:rFonts w:ascii="DejaVu Sans Mono" w:hAnsi="DejaVu Sans Mono"/>
          <w:b w:val="0"/>
          <w:i w:val="0"/>
          <w:sz w:val="17"/>
        </w:rPr>
        <w:t>headroom=950</w:t>
      </w:r>
      <w:r>
        <w:rPr>
          <w:b w:val="0"/>
          <w:i w:val="0"/>
        </w:rPr>
        <w:t xml:space="preserve"> MW and the annual limit is 190 MW. A zero profile peak uses the denominator floor 10⁻¹². These limits are calculated separately for solar, onshore wind and offshore wind.</w:t>
      </w:r>
    </w:p>
    <w:p>
      <w:pPr>
        <w:pStyle w:val="Heading2"/>
      </w:pPr>
      <w:r>
        <w:rPr>
          <w:b w:val="0"/>
          <w:i w:val="0"/>
        </w:rPr>
        <w:t>Annual storage expansion limits</w:t>
      </w:r>
    </w:p>
    <w:p>
      <w:pPr>
        <w:keepNext/>
      </w:pPr>
      <w:r>
        <w:rPr>
          <w:b w:val="0"/>
          <w:i w:val="0"/>
        </w:rPr>
        <w:t xml:space="preserve">Storage expansion uses the renewable surplus remaining after the operating stores have charged. </w:t>
      </w:r>
      <w:r>
        <w:rPr>
          <w:rFonts w:ascii="DejaVu Sans Mono" w:hAnsi="DejaVu Sans Mono"/>
          <w:b w:val="0"/>
          <w:i w:val="0"/>
          <w:sz w:val="17"/>
        </w:rPr>
        <w:t>corrected_​storage_​headroom</w:t>
      </w:r>
      <w:r>
        <w:rPr>
          <w:b w:val="0"/>
          <w:i w:val="0"/>
        </w:rPr>
        <w:t xml:space="preserve"> reads </w:t>
      </w:r>
      <w:r>
        <w:rPr>
          <w:rFonts w:ascii="DejaVu Sans Mono" w:hAnsi="DejaVu Sans Mono"/>
          <w:b w:val="0"/>
          <w:i w:val="0"/>
          <w:sz w:val="17"/>
        </w:rPr>
        <w:t>leftover_excess_mwh</w:t>
      </w:r>
      <w:r>
        <w:rPr>
          <w:b w:val="0"/>
          <w:i w:val="0"/>
        </w:rPr>
        <w:t xml:space="preserve"> from </w:t>
      </w:r>
      <w:r>
        <w:rPr>
          <w:rFonts w:ascii="DejaVu Sans Mono" w:hAnsi="DejaVu Sans Mono"/>
          <w:b w:val="0"/>
          <w:i w:val="0"/>
          <w:sz w:val="17"/>
        </w:rPr>
        <w:t>storage_headroom_inputs</w:t>
      </w:r>
      <w:r>
        <w:rPr>
          <w:b w:val="0"/>
          <w:i w:val="0"/>
        </w:rPr>
        <w:t xml:space="preserve"> into </w:t>
      </w:r>
      <w:r>
        <w:rPr>
          <w:rFonts w:ascii="DejaVu Sans Mono" w:hAnsi="DejaVu Sans Mono"/>
          <w:b w:val="0"/>
          <w:i w:val="0"/>
          <w:sz w:val="17"/>
        </w:rPr>
        <w:t>leftover</w:t>
      </w:r>
      <w:r>
        <w:rPr>
          <w:b w:val="0"/>
          <w:i w:val="0"/>
        </w:rPr>
        <w:t xml:space="preserve">, and each period's </w:t>
      </w:r>
      <w:r>
        <w:rPr>
          <w:rFonts w:ascii="DejaVu Sans Mono" w:hAnsi="DejaVu Sans Mono"/>
          <w:b w:val="0"/>
          <w:i w:val="0"/>
          <w:sz w:val="17"/>
        </w:rPr>
        <w:t>vre_accepted_mwh</w:t>
      </w:r>
      <w:r>
        <w:rPr>
          <w:b w:val="0"/>
          <w:i w:val="0"/>
        </w:rPr>
        <w:t xml:space="preserve">, </w:t>
      </w:r>
      <w:r>
        <w:rPr>
          <w:rFonts w:ascii="DejaVu Sans Mono" w:hAnsi="DejaVu Sans Mono"/>
          <w:b w:val="0"/>
          <w:i w:val="0"/>
          <w:sz w:val="17"/>
        </w:rPr>
        <w:t>real_demand_mwh</w:t>
      </w:r>
      <w:r>
        <w:rPr>
          <w:b w:val="0"/>
          <w:i w:val="0"/>
        </w:rPr>
        <w:t xml:space="preserve"> and </w:t>
      </w:r>
      <w:r>
        <w:rPr>
          <w:rFonts w:ascii="DejaVu Sans Mono" w:hAnsi="DejaVu Sans Mono"/>
          <w:b w:val="0"/>
          <w:i w:val="0"/>
          <w:sz w:val="17"/>
        </w:rPr>
        <w:t>storage_discharge_mwh</w:t>
      </w:r>
      <w:r>
        <w:rPr>
          <w:b w:val="0"/>
          <w:i w:val="0"/>
        </w:rPr>
        <w:t xml:space="preserve"> into </w:t>
      </w:r>
      <w:r>
        <w:rPr>
          <w:rFonts w:ascii="DejaVu Sans Mono" w:hAnsi="DejaVu Sans Mono"/>
          <w:b w:val="0"/>
          <w:i w:val="0"/>
          <w:sz w:val="17"/>
        </w:rPr>
        <w:t>vre</w:t>
      </w:r>
      <w:r>
        <w:rPr>
          <w:b w:val="0"/>
          <w:i w:val="0"/>
        </w:rPr>
        <w:t xml:space="preserve">, </w:t>
      </w:r>
      <w:r>
        <w:rPr>
          <w:rFonts w:ascii="DejaVu Sans Mono" w:hAnsi="DejaVu Sans Mono"/>
          <w:b w:val="0"/>
          <w:i w:val="0"/>
          <w:sz w:val="17"/>
        </w:rPr>
        <w:t>demand</w:t>
      </w:r>
      <w:r>
        <w:rPr>
          <w:b w:val="0"/>
          <w:i w:val="0"/>
        </w:rPr>
        <w:t xml:space="preserve"> and </w:t>
      </w:r>
      <w:r>
        <w:rPr>
          <w:rFonts w:ascii="DejaVu Sans Mono" w:hAnsi="DejaVu Sans Mono"/>
          <w:b w:val="0"/>
          <w:i w:val="0"/>
          <w:sz w:val="17"/>
        </w:rPr>
        <w:t>discharge</w:t>
      </w:r>
      <w:r>
        <w:rPr>
          <w:b w:val="0"/>
          <w:i w:val="0"/>
        </w:rPr>
        <w:t>. These arrays are MWh per period. Surplus available to an additional store and the remaining demand gap are:</w:t>
      </w:r>
    </w:p>
    <w:p>
      <w:pPr>
        <w:spacing w:after="160"/>
        <w:jc w:val="center"/>
      </w:pPr>
      <w:r>
        <w:drawing>
          <wp:inline xmlns:a="http://schemas.openxmlformats.org/drawingml/2006/main" xmlns:pic="http://schemas.openxmlformats.org/drawingml/2006/picture">
            <wp:extent cx="3579875" cy="395478"/>
            <wp:docPr id="108" name="Picture 108"/>
            <wp:cNvGraphicFramePr>
              <a:graphicFrameLocks noChangeAspect="1"/>
            </wp:cNvGraphicFramePr>
            <a:graphic>
              <a:graphicData uri="http://schemas.openxmlformats.org/drawingml/2006/picture">
                <pic:pic>
                  <pic:nvPicPr>
                    <pic:cNvPr id="0" name="eq-108.png"/>
                    <pic:cNvPicPr/>
                  </pic:nvPicPr>
                  <pic:blipFill>
                    <a:blip r:embed="rId111"/>
                    <a:stretch>
                      <a:fillRect/>
                    </a:stretch>
                  </pic:blipFill>
                  <pic:spPr>
                    <a:xfrm>
                      <a:off x="0" y="0"/>
                      <a:ext cx="3579875" cy="395478"/>
                    </a:xfrm>
                    <a:prstGeom prst="rect"/>
                  </pic:spPr>
                </pic:pic>
              </a:graphicData>
            </a:graphic>
          </wp:inline>
        </w:drawing>
      </w:r>
    </w:p>
    <w:p>
      <w:r>
        <w:rPr>
          <w:b w:val="0"/>
          <w:i w:val="0"/>
        </w:rPr>
        <w:t xml:space="preserve">A virtual store converts these series into charging and discharging profiles. </w:t>
      </w:r>
      <w:r>
        <w:rPr>
          <w:rFonts w:ascii="DejaVu Sans Mono" w:hAnsi="DejaVu Sans Mono"/>
          <w:b w:val="0"/>
          <w:i w:val="0"/>
          <w:sz w:val="17"/>
        </w:rPr>
        <w:t>_simulate_virtual_pool</w:t>
      </w:r>
      <w:r>
        <w:rPr>
          <w:b w:val="0"/>
          <w:i w:val="0"/>
        </w:rPr>
        <w:t xml:space="preserve"> begins with </w:t>
      </w:r>
      <w:r>
        <w:rPr>
          <w:rFonts w:ascii="DejaVu Sans Mono" w:hAnsi="DejaVu Sans Mono"/>
          <w:b w:val="0"/>
          <w:i w:val="0"/>
          <w:sz w:val="17"/>
        </w:rPr>
        <w:t>soc=0</w:t>
      </w:r>
      <w:r>
        <w:rPr>
          <w:b w:val="0"/>
          <w:i w:val="0"/>
        </w:rPr>
        <w:t xml:space="preserve">, has </w:t>
      </w:r>
      <w:r>
        <w:rPr>
          <w:rFonts w:ascii="DejaVu Sans Mono" w:hAnsi="DejaVu Sans Mono"/>
          <w:b w:val="0"/>
          <w:i w:val="0"/>
          <w:sz w:val="17"/>
        </w:rPr>
        <w:t>power_mw=10⁹</w:t>
      </w:r>
      <w:r>
        <w:rPr>
          <w:b w:val="0"/>
          <w:i w:val="0"/>
        </w:rPr>
        <w:t xml:space="preserve"> MW and </w:t>
      </w:r>
      <w:r>
        <w:rPr>
          <w:rFonts w:ascii="DejaVu Sans Mono" w:hAnsi="DejaVu Sans Mono"/>
          <w:b w:val="0"/>
          <w:i w:val="0"/>
          <w:sz w:val="17"/>
        </w:rPr>
        <w:t>energy_cap_mwh=10⁹</w:t>
      </w:r>
      <w:r>
        <w:rPr>
          <w:b w:val="0"/>
          <w:i w:val="0"/>
        </w:rPr>
        <w:t xml:space="preserve"> MWh, and places the round-trip efficiency </w:t>
      </w:r>
      <w:r>
        <w:rPr>
          <w:rFonts w:ascii="DejaVu Sans Mono" w:hAnsi="DejaVu Sans Mono"/>
          <w:b w:val="0"/>
          <w:i w:val="0"/>
          <w:sz w:val="17"/>
        </w:rPr>
        <w:t>rte=0.98</w:t>
      </w:r>
      <w:r>
        <w:rPr>
          <w:b w:val="0"/>
          <w:i w:val="0"/>
        </w:rPr>
        <w:t xml:space="preserve"> entirely on charging. </w:t>
      </w:r>
      <w:r>
        <w:rPr>
          <w:rFonts w:ascii="DejaVu Sans Mono" w:hAnsi="DejaVu Sans Mono"/>
          <w:b w:val="0"/>
          <w:i w:val="0"/>
          <w:sz w:val="17"/>
        </w:rPr>
        <w:t>PERIOD_HOURS=0.5</w:t>
      </w:r>
      <w:r>
        <w:rPr>
          <w:b w:val="0"/>
          <w:i w:val="0"/>
        </w:rPr>
        <w:t xml:space="preserve">; </w:t>
      </w:r>
      <w:r>
        <w:rPr>
          <w:rFonts w:ascii="DejaVu Sans Mono" w:hAnsi="DejaVu Sans Mono"/>
          <w:b w:val="0"/>
          <w:i w:val="0"/>
          <w:sz w:val="17"/>
        </w:rPr>
        <w:t>exc</w:t>
      </w:r>
      <w:r>
        <w:rPr>
          <w:b w:val="0"/>
          <w:i w:val="0"/>
        </w:rPr>
        <w:t xml:space="preserve">, </w:t>
      </w:r>
      <w:r>
        <w:rPr>
          <w:rFonts w:ascii="DejaVu Sans Mono" w:hAnsi="DejaVu Sans Mono"/>
          <w:b w:val="0"/>
          <w:i w:val="0"/>
          <w:sz w:val="17"/>
        </w:rPr>
        <w:t>dfc</w:t>
      </w:r>
      <w:r>
        <w:rPr>
          <w:b w:val="0"/>
          <w:i w:val="0"/>
        </w:rPr>
        <w:t xml:space="preserve">, </w:t>
      </w:r>
      <w:r>
        <w:rPr>
          <w:rFonts w:ascii="DejaVu Sans Mono" w:hAnsi="DejaVu Sans Mono"/>
          <w:b w:val="0"/>
          <w:i w:val="0"/>
          <w:sz w:val="17"/>
        </w:rPr>
        <w:t>ch</w:t>
      </w:r>
      <w:r>
        <w:rPr>
          <w:b w:val="0"/>
          <w:i w:val="0"/>
        </w:rPr>
        <w:t xml:space="preserve"> and </w:t>
      </w:r>
      <w:r>
        <w:rPr>
          <w:rFonts w:ascii="DejaVu Sans Mono" w:hAnsi="DejaVu Sans Mono"/>
          <w:b w:val="0"/>
          <w:i w:val="0"/>
          <w:sz w:val="17"/>
        </w:rPr>
        <w:t>dis</w:t>
      </w:r>
      <w:r>
        <w:rPr>
          <w:b w:val="0"/>
          <w:i w:val="0"/>
        </w:rPr>
        <w:t xml:space="preserve"> are period MWh. Charging precedes discharging in each period:</w:t>
      </w:r>
    </w:p>
    <w:p>
      <w:pPr>
        <w:keepLines/>
        <w:spacing w:line="276" w:lineRule="auto" w:after="160"/>
      </w:pPr>
      <w:r>
        <w:rPr>
          <w:rFonts w:ascii="DejaVu Sans Mono" w:hAnsi="DejaVu Sans Mono"/>
          <w:b w:val="0"/>
          <w:i w:val="0"/>
          <w:sz w:val="17"/>
        </w:rPr>
        <w:t>max_period_mwh = power_mw * PERIOD_HOURS</w:t>
        <w:br/>
        <w:t>soc = 0</w:t>
        <w:br/>
        <w:t>charge = zeros(len(excess))</w:t>
        <w:br/>
        <w:t>discharge = zeros(len(excess))</w:t>
        <w:br/>
        <w:t>for t in range(len(excess)):</w:t>
        <w:br/>
        <w:t xml:space="preserve">    exc = excess[t]</w:t>
        <w:br/>
        <w:t xml:space="preserve">    dfc = deficit[t]</w:t>
        <w:br/>
        <w:t xml:space="preserve">    if exc &gt; 1e-9 and soc &lt; energy_cap_mwh - 1e-9:</w:t>
        <w:br/>
        <w:t xml:space="preserve">        ch = min(exc, max_period_mwh, (energy_cap_mwh - soc) / max(rte, 1e-9))</w:t>
        <w:br/>
        <w:t xml:space="preserve">        soc += ch * rte</w:t>
        <w:br/>
        <w:t xml:space="preserve">        charge[t] = ch</w:t>
        <w:br/>
        <w:t xml:space="preserve">    if dfc &gt; 1e-9 and soc &gt; 1e-9:</w:t>
        <w:br/>
        <w:t xml:space="preserve">        dis = min(dfc, max_period_mwh, soc)</w:t>
        <w:br/>
        <w:t xml:space="preserve">        soc -= dis</w:t>
        <w:br/>
        <w:t xml:space="preserve">        discharge[t] = dis</w:t>
        <w:br/>
      </w:r>
    </w:p>
    <w:p>
      <w:r>
        <w:rPr>
          <w:b w:val="0"/>
          <w:i w:val="0"/>
        </w:rPr>
        <w:t xml:space="preserve">Charging and discharging energy divided by 0.5 h give </w:t>
      </w:r>
      <w:r>
        <w:rPr>
          <w:rFonts w:ascii="DejaVu Sans Mono" w:hAnsi="DejaVu Sans Mono"/>
          <w:b w:val="0"/>
          <w:i w:val="0"/>
          <w:sz w:val="17"/>
        </w:rPr>
        <w:t>charge_mw</w:t>
      </w:r>
      <w:r>
        <w:rPr>
          <w:b w:val="0"/>
          <w:i w:val="0"/>
        </w:rPr>
        <w:t xml:space="preserve"> and </w:t>
      </w:r>
      <w:r>
        <w:rPr>
          <w:rFonts w:ascii="DejaVu Sans Mono" w:hAnsi="DejaVu Sans Mono"/>
          <w:b w:val="0"/>
          <w:i w:val="0"/>
          <w:sz w:val="17"/>
        </w:rPr>
        <w:t>discharge_mw</w:t>
      </w:r>
      <w:r>
        <w:rPr>
          <w:b w:val="0"/>
          <w:i w:val="0"/>
        </w:rPr>
        <w:t xml:space="preserve">. </w:t>
      </w:r>
      <w:r>
        <w:rPr>
          <w:rFonts w:ascii="DejaVu Sans Mono" w:hAnsi="DejaVu Sans Mono"/>
          <w:b w:val="0"/>
          <w:i w:val="0"/>
          <w:sz w:val="17"/>
        </w:rPr>
        <w:t>aligned_max_mw</w:t>
      </w:r>
      <w:r>
        <w:rPr>
          <w:b w:val="0"/>
          <w:i w:val="0"/>
        </w:rPr>
        <w:t xml:space="preserve"> finds the largest power exceeded for at least </w:t>
      </w:r>
      <w:r>
        <w:rPr>
          <w:rFonts w:ascii="DejaVu Sans Mono" w:hAnsi="DejaVu Sans Mono"/>
          <w:b w:val="0"/>
          <w:i w:val="0"/>
          <w:sz w:val="17"/>
        </w:rPr>
        <w:t>min_hours</w:t>
      </w:r>
      <w:r>
        <w:rPr>
          <w:b w:val="0"/>
          <w:i w:val="0"/>
        </w:rPr>
        <w:t xml:space="preserve"> in both profiles. </w:t>
      </w:r>
      <w:r>
        <w:rPr>
          <w:rFonts w:ascii="DejaVu Sans Mono" w:hAnsi="DejaVu Sans Mono"/>
          <w:b w:val="0"/>
          <w:i w:val="0"/>
          <w:sz w:val="17"/>
        </w:rPr>
        <w:t>hours_​above_​power(power_​mw,p_​mw)</w:t>
      </w:r>
      <w:r>
        <w:rPr>
          <w:b w:val="0"/>
          <w:i w:val="0"/>
        </w:rPr>
        <w:t xml:space="preserve"> counts values strictly above </w:t>
      </w:r>
      <w:r>
        <w:rPr>
          <w:rFonts w:ascii="DejaVu Sans Mono" w:hAnsi="DejaVu Sans Mono"/>
          <w:b w:val="0"/>
          <w:i w:val="0"/>
          <w:sz w:val="17"/>
        </w:rPr>
        <w:t>p_mw</w:t>
      </w:r>
      <w:r>
        <w:rPr>
          <w:b w:val="0"/>
          <w:i w:val="0"/>
        </w:rPr>
        <w:t xml:space="preserve"> and multiplies by 0.5 h. The upper search bound </w:t>
      </w:r>
      <w:r>
        <w:rPr>
          <w:rFonts w:ascii="DejaVu Sans Mono" w:hAnsi="DejaVu Sans Mono"/>
          <w:b w:val="0"/>
          <w:i w:val="0"/>
          <w:sz w:val="17"/>
        </w:rPr>
        <w:t>peak</w:t>
      </w:r>
      <w:r>
        <w:rPr>
          <w:b w:val="0"/>
          <w:i w:val="0"/>
        </w:rPr>
        <w:t xml:space="preserve"> is the smaller charging/discharging peak. Zero peak or insufficient hours above zero gives a zero result; </w:t>
      </w:r>
      <w:r>
        <w:rPr>
          <w:rFonts w:ascii="DejaVu Sans Mono" w:hAnsi="DejaVu Sans Mono"/>
          <w:b w:val="0"/>
          <w:i w:val="0"/>
          <w:sz w:val="17"/>
        </w:rPr>
        <w:t>min_hours≤0</w:t>
      </w:r>
      <w:r>
        <w:rPr>
          <w:b w:val="0"/>
          <w:i w:val="0"/>
        </w:rPr>
        <w:t xml:space="preserve"> gives </w:t>
      </w:r>
      <w:r>
        <w:rPr>
          <w:rFonts w:ascii="DejaVu Sans Mono" w:hAnsi="DejaVu Sans Mono"/>
          <w:b w:val="0"/>
          <w:i w:val="0"/>
          <w:sz w:val="17"/>
        </w:rPr>
        <w:t>peak</w:t>
      </w:r>
      <w:r>
        <w:rPr>
          <w:b w:val="0"/>
          <w:i w:val="0"/>
        </w:rPr>
        <w:t xml:space="preserve">. For positive attainable duration, the search starts at </w:t>
      </w:r>
      <w:r>
        <w:rPr>
          <w:rFonts w:ascii="DejaVu Sans Mono" w:hAnsi="DejaVu Sans Mono"/>
          <w:b w:val="0"/>
          <w:i w:val="0"/>
          <w:sz w:val="17"/>
        </w:rPr>
        <w:t>lo=0</w:t>
      </w:r>
      <w:r>
        <w:rPr>
          <w:b w:val="0"/>
          <w:i w:val="0"/>
        </w:rPr>
        <w:t xml:space="preserve">, </w:t>
      </w:r>
      <w:r>
        <w:rPr>
          <w:rFonts w:ascii="DejaVu Sans Mono" w:hAnsi="DejaVu Sans Mono"/>
          <w:b w:val="0"/>
          <w:i w:val="0"/>
          <w:sz w:val="17"/>
        </w:rPr>
        <w:t>hi=peak</w:t>
      </w:r>
      <w:r>
        <w:rPr>
          <w:b w:val="0"/>
          <w:i w:val="0"/>
        </w:rPr>
        <w:t xml:space="preserve"> and performs 64 bisection steps:</w:t>
      </w:r>
    </w:p>
    <w:p>
      <w:pPr>
        <w:keepLines/>
        <w:spacing w:line="276" w:lineRule="auto" w:after="160"/>
      </w:pPr>
      <w:r>
        <w:rPr>
          <w:rFonts w:ascii="DejaVu Sans Mono" w:hAnsi="DejaVu Sans Mono"/>
          <w:b w:val="0"/>
          <w:i w:val="0"/>
          <w:sz w:val="17"/>
        </w:rPr>
        <w:t>for _ in range(64):</w:t>
        <w:br/>
        <w:t xml:space="preserve">    mid = 0.5 * (lo + hi)</w:t>
        <w:br/>
        <w:t xml:space="preserve">    if (hours_​above_​power(charge_​mw, mid) &gt;= min_hours</w:t>
        <w:br/>
        <w:t xml:space="preserve">            and hours_​above_​power(discharge_​mw, mid) &gt;= min_hours):</w:t>
        <w:br/>
        <w:t xml:space="preserve">        lo = mid</w:t>
        <w:br/>
        <w:t xml:space="preserve">    else:</w:t>
        <w:br/>
        <w:t xml:space="preserve">        hi = mid</w:t>
        <w:br/>
        <w:t>return lo</w:t>
        <w:br/>
      </w:r>
    </w:p>
    <w:p>
      <w:pPr>
        <w:keepNext/>
      </w:pPr>
      <w:r>
        <w:rPr>
          <w:rFonts w:ascii="DejaVu Sans Mono" w:hAnsi="DejaVu Sans Mono"/>
          <w:b w:val="0"/>
          <w:i w:val="0"/>
          <w:sz w:val="17"/>
        </w:rPr>
        <w:t>aligned_​utilisation_​spectrum</w:t>
      </w:r>
      <w:r>
        <w:rPr>
          <w:b w:val="0"/>
          <w:i w:val="0"/>
        </w:rPr>
        <w:t xml:space="preserve"> applies the search at 730, 365, 52 and 0 hours, producing </w:t>
      </w:r>
      <w:r>
        <w:rPr>
          <w:rFonts w:ascii="DejaVu Sans Mono" w:hAnsi="DejaVu Sans Mono"/>
          <w:b w:val="0"/>
          <w:i w:val="0"/>
          <w:sz w:val="17"/>
        </w:rPr>
        <w:t>mw_730</w:t>
      </w:r>
      <w:r>
        <w:rPr>
          <w:b w:val="0"/>
          <w:i w:val="0"/>
        </w:rPr>
        <w:t xml:space="preserve">, </w:t>
      </w:r>
      <w:r>
        <w:rPr>
          <w:rFonts w:ascii="DejaVu Sans Mono" w:hAnsi="DejaVu Sans Mono"/>
          <w:b w:val="0"/>
          <w:i w:val="0"/>
          <w:sz w:val="17"/>
        </w:rPr>
        <w:t>mw_365</w:t>
      </w:r>
      <w:r>
        <w:rPr>
          <w:b w:val="0"/>
          <w:i w:val="0"/>
        </w:rPr>
        <w:t xml:space="preserve">, </w:t>
      </w:r>
      <w:r>
        <w:rPr>
          <w:rFonts w:ascii="DejaVu Sans Mono" w:hAnsi="DejaVu Sans Mono"/>
          <w:b w:val="0"/>
          <w:i w:val="0"/>
          <w:sz w:val="17"/>
        </w:rPr>
        <w:t>mw_52</w:t>
      </w:r>
      <w:r>
        <w:rPr>
          <w:b w:val="0"/>
          <w:i w:val="0"/>
        </w:rPr>
        <w:t xml:space="preserve"> and </w:t>
      </w:r>
      <w:r>
        <w:rPr>
          <w:rFonts w:ascii="DejaVu Sans Mono" w:hAnsi="DejaVu Sans Mono"/>
          <w:b w:val="0"/>
          <w:i w:val="0"/>
          <w:sz w:val="17"/>
        </w:rPr>
        <w:t>mw_0</w:t>
      </w:r>
      <w:r>
        <w:rPr>
          <w:b w:val="0"/>
          <w:i w:val="0"/>
        </w:rPr>
        <w:t>. The successive capacity bands, all in MW, are:</w:t>
      </w:r>
    </w:p>
    <w:p>
      <w:pPr>
        <w:spacing w:after="160"/>
        <w:jc w:val="center"/>
      </w:pPr>
      <w:r>
        <w:drawing>
          <wp:inline xmlns:a="http://schemas.openxmlformats.org/drawingml/2006/main" xmlns:pic="http://schemas.openxmlformats.org/drawingml/2006/picture">
            <wp:extent cx="2916555" cy="845710"/>
            <wp:docPr id="109" name="Picture 109"/>
            <wp:cNvGraphicFramePr>
              <a:graphicFrameLocks noChangeAspect="1"/>
            </wp:cNvGraphicFramePr>
            <a:graphic>
              <a:graphicData uri="http://schemas.openxmlformats.org/drawingml/2006/picture">
                <pic:pic>
                  <pic:nvPicPr>
                    <pic:cNvPr id="0" name="eq-109.png"/>
                    <pic:cNvPicPr/>
                  </pic:nvPicPr>
                  <pic:blipFill>
                    <a:blip r:embed="rId112"/>
                    <a:stretch>
                      <a:fillRect/>
                    </a:stretch>
                  </pic:blipFill>
                  <pic:spPr>
                    <a:xfrm>
                      <a:off x="0" y="0"/>
                      <a:ext cx="2916555" cy="845710"/>
                    </a:xfrm>
                    <a:prstGeom prst="rect"/>
                  </pic:spPr>
                </pic:pic>
              </a:graphicData>
            </a:graphic>
          </wp:inline>
        </w:drawing>
      </w:r>
    </w:p>
    <w:p>
      <w:r>
        <w:rPr>
          <w:b w:val="0"/>
          <w:i w:val="0"/>
        </w:rPr>
        <w:t xml:space="preserve">The output stores </w:t>
      </w:r>
      <w:r>
        <w:rPr>
          <w:rFonts w:ascii="DejaVu Sans Mono" w:hAnsi="DejaVu Sans Mono"/>
          <w:b w:val="0"/>
          <w:i w:val="0"/>
          <w:sz w:val="17"/>
        </w:rPr>
        <w:t>daily</w:t>
      </w:r>
      <w:r>
        <w:rPr>
          <w:b w:val="0"/>
          <w:i w:val="0"/>
        </w:rPr>
        <w:t xml:space="preserve"> under </w:t>
      </w:r>
      <w:r>
        <w:rPr>
          <w:rFonts w:ascii="DejaVu Sans Mono" w:hAnsi="DejaVu Sans Mono"/>
          <w:b w:val="0"/>
          <w:i w:val="0"/>
          <w:sz w:val="17"/>
        </w:rPr>
        <w:t>daily_loop</w:t>
      </w:r>
      <w:r>
        <w:rPr>
          <w:b w:val="0"/>
          <w:i w:val="0"/>
        </w:rPr>
        <w:t xml:space="preserve"> and </w:t>
      </w:r>
      <w:r>
        <w:rPr>
          <w:rFonts w:ascii="DejaVu Sans Mono" w:hAnsi="DejaVu Sans Mono"/>
          <w:b w:val="0"/>
          <w:i w:val="0"/>
          <w:sz w:val="17"/>
        </w:rPr>
        <w:t>interday</w:t>
      </w:r>
      <w:r>
        <w:rPr>
          <w:b w:val="0"/>
          <w:i w:val="0"/>
        </w:rPr>
        <w:t xml:space="preserve"> under </w:t>
      </w:r>
      <w:r>
        <w:rPr>
          <w:rFonts w:ascii="DejaVu Sans Mono" w:hAnsi="DejaVu Sans Mono"/>
          <w:b w:val="0"/>
          <w:i w:val="0"/>
          <w:sz w:val="17"/>
        </w:rPr>
        <w:t>intraday</w:t>
      </w:r>
      <w:r>
        <w:rPr>
          <w:b w:val="0"/>
          <w:i w:val="0"/>
        </w:rPr>
        <w:t xml:space="preserve">. </w:t>
      </w:r>
      <w:r>
        <w:rPr>
          <w:rFonts w:ascii="DejaVu Sans Mono" w:hAnsi="DejaVu Sans Mono"/>
          <w:b w:val="0"/>
          <w:i w:val="0"/>
          <w:sz w:val="17"/>
        </w:rPr>
        <w:t>corrected_​storage_​headroom</w:t>
      </w:r>
      <w:r>
        <w:rPr>
          <w:b w:val="0"/>
          <w:i w:val="0"/>
        </w:rPr>
        <w:t xml:space="preserve"> reads the latter into </w:t>
      </w:r>
      <w:r>
        <w:rPr>
          <w:rFonts w:ascii="DejaVu Sans Mono" w:hAnsi="DejaVu Sans Mono"/>
          <w:b w:val="0"/>
          <w:i w:val="0"/>
          <w:sz w:val="17"/>
        </w:rPr>
        <w:t>intraday</w:t>
      </w:r>
      <w:r>
        <w:rPr>
          <w:b w:val="0"/>
          <w:i w:val="0"/>
        </w:rPr>
        <w:t xml:space="preserve">, calculates </w:t>
      </w:r>
      <w:r>
        <w:rPr>
          <w:rFonts w:ascii="DejaVu Sans Mono" w:hAnsi="DejaVu Sans Mono"/>
          <w:b w:val="0"/>
          <w:i w:val="0"/>
          <w:sz w:val="17"/>
        </w:rPr>
        <w:t>power_​room=max(daily+intraday,0)</w:t>
      </w:r>
      <w:r>
        <w:rPr>
          <w:b w:val="0"/>
          <w:i w:val="0"/>
        </w:rPr>
        <w:t xml:space="preserve">, and sets </w:t>
      </w:r>
      <w:r>
        <w:rPr>
          <w:rFonts w:ascii="DejaVu Sans Mono" w:hAnsi="DejaVu Sans Mono"/>
          <w:b w:val="0"/>
          <w:i w:val="0"/>
          <w:sz w:val="17"/>
        </w:rPr>
        <w:t>power_​cap=fraction×power_​room</w:t>
      </w:r>
      <w:r>
        <w:rPr>
          <w:b w:val="0"/>
          <w:i w:val="0"/>
        </w:rPr>
        <w:t xml:space="preserve">. Each of </w:t>
      </w:r>
      <w:r>
        <w:rPr>
          <w:rFonts w:ascii="DejaVu Sans Mono" w:hAnsi="DejaVu Sans Mono"/>
          <w:b w:val="0"/>
          <w:i w:val="0"/>
          <w:sz w:val="17"/>
        </w:rPr>
        <w:t>1c_battery</w:t>
      </w:r>
      <w:r>
        <w:rPr>
          <w:b w:val="0"/>
          <w:i w:val="0"/>
        </w:rPr>
        <w:t xml:space="preserve">, </w:t>
      </w:r>
      <w:r>
        <w:rPr>
          <w:rFonts w:ascii="DejaVu Sans Mono" w:hAnsi="DejaVu Sans Mono"/>
          <w:b w:val="0"/>
          <w:i w:val="0"/>
          <w:sz w:val="17"/>
        </w:rPr>
        <w:t>0.5c_battery</w:t>
      </w:r>
      <w:r>
        <w:rPr>
          <w:b w:val="0"/>
          <w:i w:val="0"/>
        </w:rPr>
        <w:t xml:space="preserve"> and </w:t>
      </w:r>
      <w:r>
        <w:rPr>
          <w:rFonts w:ascii="DejaVu Sans Mono" w:hAnsi="DejaVu Sans Mono"/>
          <w:b w:val="0"/>
          <w:i w:val="0"/>
          <w:sz w:val="17"/>
        </w:rPr>
        <w:t>0.25c_battery</w:t>
      </w:r>
      <w:r>
        <w:rPr>
          <w:b w:val="0"/>
          <w:i w:val="0"/>
        </w:rPr>
        <w:t xml:space="preserve"> receives this separate technology limit. Hydrogen receives </w:t>
      </w:r>
      <w:r>
        <w:rPr>
          <w:rFonts w:ascii="DejaVu Sans Mono" w:hAnsi="DejaVu Sans Mono"/>
          <w:b w:val="0"/>
          <w:i w:val="0"/>
          <w:sz w:val="17"/>
        </w:rPr>
        <w:t>hydrogen_​cap=fraction×max(seasonal,0)</w:t>
      </w:r>
      <w:r>
        <w:rPr>
          <w:b w:val="0"/>
          <w:i w:val="0"/>
        </w:rPr>
        <w:t xml:space="preserve">. Here </w:t>
      </w:r>
      <w:r>
        <w:rPr>
          <w:rFonts w:ascii="DejaVu Sans Mono" w:hAnsi="DejaVu Sans Mono"/>
          <w:b w:val="0"/>
          <w:i w:val="0"/>
          <w:sz w:val="17"/>
        </w:rPr>
        <w:t>fraction</w:t>
      </w:r>
      <w:r>
        <w:rPr>
          <w:b w:val="0"/>
          <w:i w:val="0"/>
        </w:rPr>
        <w:t xml:space="preserve"> comes from </w:t>
      </w:r>
      <w:r>
        <w:rPr>
          <w:rFonts w:ascii="DejaVu Sans Mono" w:hAnsi="DejaVu Sans Mono"/>
          <w:b w:val="0"/>
          <w:i w:val="0"/>
          <w:sz w:val="17"/>
        </w:rPr>
        <w:t>expansion.storage_​cap_​fraction</w:t>
      </w:r>
      <w:r>
        <w:rPr>
          <w:b w:val="0"/>
          <w:i w:val="0"/>
        </w:rPr>
        <w:t>, default 0.20; the weekly band remains a reported quantity. The same year's groups consume their technology's remaining limit in the order defined above.</w:t>
      </w:r>
    </w:p>
    <w:p>
      <w:r>
        <w:rPr>
          <w:b w:val="0"/>
          <w:i w:val="0"/>
        </w:rPr>
        <w:t>The storage calculation takes a complete 17,520-period year and its post-charge surplus series. Native dispatch supplies this series. The returned storage limits are zero for a shorter chronology, a period length other than 0.5 h, or an absent post-charge series. This zero rule also defines the storage-investment result when staged, LP or DC dispatch supplies the annual operating result without that series.</w:t>
      </w:r>
    </w:p>
    <w:p>
      <w:pPr>
        <w:pStyle w:val="Heading2"/>
      </w:pPr>
      <w:r>
        <w:rPr>
          <w:b w:val="0"/>
          <w:i w:val="0"/>
        </w:rPr>
        <w:t>Investment quantities and retirement</w:t>
      </w:r>
    </w:p>
    <w:p>
      <w:r>
        <w:rPr>
          <w:b w:val="0"/>
          <w:i w:val="0"/>
        </w:rPr>
        <w:t xml:space="preserve">Each technology follows the eligibility mode in </w:t>
      </w:r>
      <w:r>
        <w:rPr>
          <w:rFonts w:ascii="DejaVu Sans Mono" w:hAnsi="DejaVu Sans Mono"/>
          <w:b w:val="0"/>
          <w:i w:val="0"/>
          <w:sz w:val="17"/>
        </w:rPr>
        <w:t>investment_​eligibility.json</w:t>
      </w:r>
      <w:r>
        <w:rPr>
          <w:b w:val="0"/>
          <w:i w:val="0"/>
        </w:rPr>
        <w:t xml:space="preserve">. Solar, onshore wind, offshore wind, the three battery types and hydrogen use </w:t>
      </w:r>
      <w:r>
        <w:rPr>
          <w:rFonts w:ascii="DejaVu Sans Mono" w:hAnsi="DejaVu Sans Mono"/>
          <w:b w:val="0"/>
          <w:i w:val="0"/>
          <w:sz w:val="17"/>
        </w:rPr>
        <w:t>headroom_required</w:t>
      </w:r>
      <w:r>
        <w:rPr>
          <w:b w:val="0"/>
          <w:i w:val="0"/>
        </w:rPr>
        <w:t xml:space="preserve">. CCGT, OCGT, </w:t>
      </w:r>
      <w:r>
        <w:rPr>
          <w:rFonts w:ascii="DejaVu Sans Mono" w:hAnsi="DejaVu Sans Mono"/>
          <w:b w:val="0"/>
          <w:i w:val="0"/>
          <w:sz w:val="17"/>
        </w:rPr>
        <w:t>gas</w:t>
      </w:r>
      <w:r>
        <w:rPr>
          <w:b w:val="0"/>
          <w:i w:val="0"/>
        </w:rPr>
        <w:t xml:space="preserve"> and </w:t>
      </w:r>
      <w:r>
        <w:rPr>
          <w:rFonts w:ascii="DejaVu Sans Mono" w:hAnsi="DejaVu Sans Mono"/>
          <w:b w:val="0"/>
          <w:i w:val="0"/>
          <w:sz w:val="17"/>
        </w:rPr>
        <w:t>bio_and_waste</w:t>
      </w:r>
      <w:r>
        <w:rPr>
          <w:b w:val="0"/>
          <w:i w:val="0"/>
        </w:rPr>
        <w:t xml:space="preserve"> use </w:t>
      </w:r>
      <w:r>
        <w:rPr>
          <w:rFonts w:ascii="DejaVu Sans Mono" w:hAnsi="DejaVu Sans Mono"/>
          <w:b w:val="0"/>
          <w:i w:val="0"/>
          <w:sz w:val="17"/>
        </w:rPr>
        <w:t>explicit_uncapped</w:t>
      </w:r>
      <w:r>
        <w:rPr>
          <w:b w:val="0"/>
          <w:i w:val="0"/>
        </w:rPr>
        <w:t>. Nuclear capacity follows the external project and retirement schedule. Pumped hydro and run-of-river hydro follow site-based projects; the generic profit rule supplies zero proposals for these technologies.</w:t>
      </w:r>
    </w:p>
    <w:p>
      <w:r>
        <w:rPr>
          <w:b w:val="0"/>
          <w:i w:val="0"/>
        </w:rPr>
        <w:t xml:space="preserve">Concurrent expansion rules combine through the smallest limit for each technology. </w:t>
      </w:r>
      <w:r>
        <w:rPr>
          <w:rFonts w:ascii="DejaVu Sans Mono" w:hAnsi="DejaVu Sans Mono"/>
          <w:b w:val="0"/>
          <w:i w:val="0"/>
          <w:sz w:val="17"/>
        </w:rPr>
        <w:t>caps</w:t>
      </w:r>
      <w:r>
        <w:rPr>
          <w:b w:val="0"/>
          <w:i w:val="0"/>
        </w:rPr>
        <w:t xml:space="preserve"> holds that minimum, and each year starts with </w:t>
      </w:r>
      <w:r>
        <w:rPr>
          <w:rFonts w:ascii="DejaVu Sans Mono" w:hAnsi="DejaVu Sans Mono"/>
          <w:b w:val="0"/>
          <w:i w:val="0"/>
          <w:sz w:val="17"/>
        </w:rPr>
        <w:t>remaining_​caps=dict(caps)</w:t>
      </w:r>
      <w:r>
        <w:rPr>
          <w:b w:val="0"/>
          <w:i w:val="0"/>
        </w:rPr>
        <w:t xml:space="preserve">. Earlier projects remain in the construction pipeline; only additions proposed in the current year's investment pass reduce </w:t>
      </w:r>
      <w:r>
        <w:rPr>
          <w:rFonts w:ascii="DejaVu Sans Mono" w:hAnsi="DejaVu Sans Mono"/>
          <w:b w:val="0"/>
          <w:i w:val="0"/>
          <w:sz w:val="17"/>
        </w:rPr>
        <w:t>remaining_caps</w:t>
      </w:r>
      <w:r>
        <w:rPr>
          <w:b w:val="0"/>
          <w:i w:val="0"/>
        </w:rPr>
        <w:t>. Several decision years can consequently retain pending projects against the same capacity opportunity.</w:t>
      </w:r>
    </w:p>
    <w:p>
      <w:pPr>
        <w:keepNext/>
      </w:pPr>
      <w:r>
        <w:rPr>
          <w:b w:val="0"/>
          <w:i w:val="0"/>
        </w:rPr>
        <w:t xml:space="preserve">A group with </w:t>
      </w:r>
      <w:r>
        <w:rPr>
          <w:rFonts w:ascii="DejaVu Sans Mono" w:hAnsi="DejaVu Sans Mono"/>
          <w:b w:val="0"/>
          <w:i w:val="0"/>
          <w:sz w:val="17"/>
        </w:rPr>
        <w:t>net&lt;0</w:t>
      </w:r>
      <w:r>
        <w:rPr>
          <w:b w:val="0"/>
          <w:i w:val="0"/>
        </w:rPr>
        <w:t xml:space="preserve"> and positive </w:t>
      </w:r>
      <w:r>
        <w:rPr>
          <w:rFonts w:ascii="DejaVu Sans Mono" w:hAnsi="DejaVu Sans Mono"/>
          <w:b w:val="0"/>
          <w:i w:val="0"/>
          <w:sz w:val="17"/>
        </w:rPr>
        <w:t>cost_per_mw</w:t>
      </w:r>
      <w:r>
        <w:rPr>
          <w:b w:val="0"/>
          <w:i w:val="0"/>
        </w:rPr>
        <w:t xml:space="preserve"> retires capacity. Its retirement is limited by the group's existing MW and allocated to members in proportion to their MW. For other groups, </w:t>
      </w:r>
      <w:r>
        <w:rPr>
          <w:rFonts w:ascii="DejaVu Sans Mono" w:hAnsi="DejaVu Sans Mono"/>
          <w:b w:val="0"/>
          <w:i w:val="0"/>
          <w:sz w:val="17"/>
        </w:rPr>
        <w:t>roi&gt;preferred</w:t>
      </w:r>
      <w:r>
        <w:rPr>
          <w:b w:val="0"/>
          <w:i w:val="0"/>
        </w:rPr>
        <w:t xml:space="preserve"> selects </w:t>
      </w:r>
      <w:r>
        <w:rPr>
          <w:rFonts w:ascii="DejaVu Sans Mono" w:hAnsi="DejaVu Sans Mono"/>
          <w:b w:val="0"/>
          <w:i w:val="0"/>
          <w:sz w:val="17"/>
        </w:rPr>
        <w:t>Invest_High</w:t>
      </w:r>
      <w:r>
        <w:rPr>
          <w:b w:val="0"/>
          <w:i w:val="0"/>
        </w:rPr>
        <w:t xml:space="preserve">; otherwise </w:t>
      </w:r>
      <w:r>
        <w:rPr>
          <w:rFonts w:ascii="DejaVu Sans Mono" w:hAnsi="DejaVu Sans Mono"/>
          <w:b w:val="0"/>
          <w:i w:val="0"/>
          <w:sz w:val="17"/>
        </w:rPr>
        <w:t>payback≤target_payback</w:t>
      </w:r>
      <w:r>
        <w:rPr>
          <w:b w:val="0"/>
          <w:i w:val="0"/>
        </w:rPr>
        <w:t xml:space="preserve"> selects </w:t>
      </w:r>
      <w:r>
        <w:rPr>
          <w:rFonts w:ascii="DejaVu Sans Mono" w:hAnsi="DejaVu Sans Mono"/>
          <w:b w:val="0"/>
          <w:i w:val="0"/>
          <w:sz w:val="17"/>
        </w:rPr>
        <w:t>Invest_Profit</w:t>
      </w:r>
      <w:r>
        <w:rPr>
          <w:b w:val="0"/>
          <w:i w:val="0"/>
        </w:rPr>
        <w:t xml:space="preserve">; the remaining groups receive </w:t>
      </w:r>
      <w:r>
        <w:rPr>
          <w:rFonts w:ascii="DejaVu Sans Mono" w:hAnsi="DejaVu Sans Mono"/>
          <w:b w:val="0"/>
          <w:i w:val="0"/>
          <w:sz w:val="17"/>
        </w:rPr>
        <w:t>Do_Nothing</w:t>
      </w:r>
      <w:r>
        <w:rPr>
          <w:b w:val="0"/>
          <w:i w:val="0"/>
        </w:rPr>
        <w:t xml:space="preserve">. Both investment classes request </w:t>
      </w:r>
      <w:r>
        <w:rPr>
          <w:rFonts w:ascii="DejaVu Sans Mono" w:hAnsi="DejaVu Sans Mono"/>
          <w:b w:val="0"/>
          <w:i w:val="0"/>
          <w:sz w:val="17"/>
        </w:rPr>
        <w:t>net/cost_per_mw</w:t>
      </w:r>
      <w:r>
        <w:rPr>
          <w:b w:val="0"/>
          <w:i w:val="0"/>
        </w:rPr>
        <w:t>. The requested retirement and permitted positive addition are:</w:t>
      </w:r>
    </w:p>
    <w:p>
      <w:pPr>
        <w:spacing w:after="160"/>
        <w:jc w:val="center"/>
      </w:pPr>
      <w:r>
        <w:drawing>
          <wp:inline xmlns:a="http://schemas.openxmlformats.org/drawingml/2006/main" xmlns:pic="http://schemas.openxmlformats.org/drawingml/2006/picture">
            <wp:extent cx="5379720" cy="864230"/>
            <wp:docPr id="110" name="Picture 110"/>
            <wp:cNvGraphicFramePr>
              <a:graphicFrameLocks noChangeAspect="1"/>
            </wp:cNvGraphicFramePr>
            <a:graphic>
              <a:graphicData uri="http://schemas.openxmlformats.org/drawingml/2006/picture">
                <pic:pic>
                  <pic:nvPicPr>
                    <pic:cNvPr id="0" name="eq-110.png"/>
                    <pic:cNvPicPr/>
                  </pic:nvPicPr>
                  <pic:blipFill>
                    <a:blip r:embed="rId113"/>
                    <a:stretch>
                      <a:fillRect/>
                    </a:stretch>
                  </pic:blipFill>
                  <pic:spPr>
                    <a:xfrm>
                      <a:off x="0" y="0"/>
                      <a:ext cx="5379720" cy="864230"/>
                    </a:xfrm>
                    <a:prstGeom prst="rect"/>
                  </pic:spPr>
                </pic:pic>
              </a:graphicData>
            </a:graphic>
          </wp:inline>
        </w:drawing>
      </w:r>
    </w:p>
    <w:p>
      <w:r>
        <w:rPr>
          <w:b w:val="0"/>
          <w:i w:val="0"/>
        </w:rPr>
        <w:t xml:space="preserve">For </w:t>
      </w:r>
      <w:r>
        <w:rPr>
          <w:rFonts w:ascii="DejaVu Sans Mono" w:hAnsi="DejaVu Sans Mono"/>
          <w:b w:val="0"/>
          <w:i w:val="0"/>
          <w:sz w:val="17"/>
        </w:rPr>
        <w:t>headroom_required</w:t>
      </w:r>
      <w:r>
        <w:rPr>
          <w:b w:val="0"/>
          <w:i w:val="0"/>
        </w:rPr>
        <w:t xml:space="preserve">, </w:t>
      </w:r>
      <w:r>
        <w:rPr>
          <w:rFonts w:ascii="DejaVu Sans Mono" w:hAnsi="DejaVu Sans Mono"/>
          <w:b w:val="0"/>
          <w:i w:val="0"/>
          <w:sz w:val="17"/>
        </w:rPr>
        <w:t>allowed=remaining_​caps.get(technology,0)</w:t>
      </w:r>
      <w:r>
        <w:rPr>
          <w:b w:val="0"/>
          <w:i w:val="0"/>
        </w:rPr>
        <w:t xml:space="preserve"> and a positive </w:t>
      </w:r>
      <w:r>
        <w:rPr>
          <w:rFonts w:ascii="DejaVu Sans Mono" w:hAnsi="DejaVu Sans Mono"/>
          <w:b w:val="0"/>
          <w:i w:val="0"/>
          <w:sz w:val="17"/>
        </w:rPr>
        <w:t>addition</w:t>
      </w:r>
      <w:r>
        <w:rPr>
          <w:b w:val="0"/>
          <w:i w:val="0"/>
        </w:rPr>
        <w:t xml:space="preserve"> reduces that remaining limit. For </w:t>
      </w:r>
      <w:r>
        <w:rPr>
          <w:rFonts w:ascii="DejaVu Sans Mono" w:hAnsi="DejaVu Sans Mono"/>
          <w:b w:val="0"/>
          <w:i w:val="0"/>
          <w:sz w:val="17"/>
        </w:rPr>
        <w:t>explicit_uncapped</w:t>
      </w:r>
      <w:r>
        <w:rPr>
          <w:b w:val="0"/>
          <w:i w:val="0"/>
        </w:rPr>
        <w:t xml:space="preserve">, </w:t>
      </w:r>
      <w:r>
        <w:rPr>
          <w:rFonts w:ascii="DejaVu Sans Mono" w:hAnsi="DejaVu Sans Mono"/>
          <w:b w:val="0"/>
          <w:i w:val="0"/>
          <w:sz w:val="17"/>
        </w:rPr>
        <w:t>allowed=requested</w:t>
      </w:r>
      <w:r>
        <w:rPr>
          <w:b w:val="0"/>
          <w:i w:val="0"/>
        </w:rPr>
        <w:t xml:space="preserve">. </w:t>
      </w:r>
      <w:r>
        <w:rPr>
          <w:rFonts w:ascii="DejaVu Sans Mono" w:hAnsi="DejaVu Sans Mono"/>
          <w:b w:val="0"/>
          <w:i w:val="0"/>
          <w:sz w:val="17"/>
        </w:rPr>
        <w:t>Do_Nothing</w:t>
      </w:r>
      <w:r>
        <w:rPr>
          <w:b w:val="0"/>
          <w:i w:val="0"/>
        </w:rPr>
        <w:t xml:space="preserve">, nonpositive unit capital cost and nonpositive </w:t>
      </w:r>
      <w:r>
        <w:rPr>
          <w:rFonts w:ascii="DejaVu Sans Mono" w:hAnsi="DejaVu Sans Mono"/>
          <w:b w:val="0"/>
          <w:i w:val="0"/>
          <w:sz w:val="17"/>
        </w:rPr>
        <w:t>addition</w:t>
      </w:r>
      <w:r>
        <w:rPr>
          <w:b w:val="0"/>
          <w:i w:val="0"/>
        </w:rPr>
        <w:t xml:space="preserve"> produce zero new capacity. As a numerical example, a 100 MW group with £100 million total capital, £10 million net income, </w:t>
      </w:r>
      <w:r>
        <w:rPr>
          <w:rFonts w:ascii="DejaVu Sans Mono" w:hAnsi="DejaVu Sans Mono"/>
          <w:b w:val="0"/>
          <w:i w:val="0"/>
          <w:sz w:val="17"/>
        </w:rPr>
        <w:t>preferred=0.08</w:t>
      </w:r>
      <w:r>
        <w:rPr>
          <w:b w:val="0"/>
          <w:i w:val="0"/>
        </w:rPr>
        <w:t xml:space="preserve"> and 20 MW remaining headroom has </w:t>
      </w:r>
      <w:r>
        <w:rPr>
          <w:rFonts w:ascii="DejaVu Sans Mono" w:hAnsi="DejaVu Sans Mono"/>
          <w:b w:val="0"/>
          <w:i w:val="0"/>
          <w:sz w:val="17"/>
        </w:rPr>
        <w:t>roi=0.10</w:t>
      </w:r>
      <w:r>
        <w:rPr>
          <w:b w:val="0"/>
          <w:i w:val="0"/>
        </w:rPr>
        <w:t xml:space="preserve">, </w:t>
      </w:r>
      <w:r>
        <w:rPr>
          <w:rFonts w:ascii="DejaVu Sans Mono" w:hAnsi="DejaVu Sans Mono"/>
          <w:b w:val="0"/>
          <w:i w:val="0"/>
          <w:sz w:val="17"/>
        </w:rPr>
        <w:t>payback=10</w:t>
      </w:r>
      <w:r>
        <w:rPr>
          <w:b w:val="0"/>
          <w:i w:val="0"/>
        </w:rPr>
        <w:t xml:space="preserve"> years and </w:t>
      </w:r>
      <w:r>
        <w:rPr>
          <w:rFonts w:ascii="DejaVu Sans Mono" w:hAnsi="DejaVu Sans Mono"/>
          <w:b w:val="0"/>
          <w:i w:val="0"/>
          <w:sz w:val="17"/>
        </w:rPr>
        <w:t>requested=10</w:t>
      </w:r>
      <w:r>
        <w:rPr>
          <w:b w:val="0"/>
          <w:i w:val="0"/>
        </w:rPr>
        <w:t xml:space="preserve"> MW; the resulting proposal is 10 MW before planning success is applied.</w:t>
      </w:r>
    </w:p>
    <w:p>
      <w:r>
        <w:rPr>
          <w:b w:val="0"/>
          <w:i w:val="0"/>
        </w:rPr>
        <w:t xml:space="preserve">New storage retains the group's energy-to-power ratio. For members with energy capacity, </w:t>
      </w:r>
      <w:r>
        <w:rPr>
          <w:rFonts w:ascii="DejaVu Sans Mono" w:hAnsi="DejaVu Sans Mono"/>
          <w:b w:val="0"/>
          <w:i w:val="0"/>
          <w:sz w:val="17"/>
        </w:rPr>
        <w:t>duration=sum(asset.energy_​capacity_​mwh)/​capacity</w:t>
      </w:r>
      <w:r>
        <w:rPr>
          <w:b w:val="0"/>
          <w:i w:val="0"/>
        </w:rPr>
        <w:t xml:space="preserve"> hours and </w:t>
      </w:r>
      <w:r>
        <w:rPr>
          <w:rFonts w:ascii="DejaVu Sans Mono" w:hAnsi="DejaVu Sans Mono"/>
          <w:b w:val="0"/>
          <w:i w:val="0"/>
          <w:sz w:val="17"/>
        </w:rPr>
        <w:t>proposal_​energy=addition×duration</w:t>
      </w:r>
      <w:r>
        <w:rPr>
          <w:b w:val="0"/>
          <w:i w:val="0"/>
        </w:rPr>
        <w:t xml:space="preserve"> MWh. The proposal's economic fields are constructed from technology capital parameters and </w:t>
      </w:r>
      <w:r>
        <w:rPr>
          <w:rFonts w:ascii="DejaVu Sans Mono" w:hAnsi="DejaVu Sans Mono"/>
          <w:b w:val="0"/>
          <w:i w:val="0"/>
          <w:sz w:val="17"/>
        </w:rPr>
        <w:t>life</w:t>
      </w:r>
      <w:r>
        <w:rPr>
          <w:b w:val="0"/>
          <w:i w:val="0"/>
        </w:rPr>
        <w:t xml:space="preserve">; non-storage fixed maintenance is allocated as </w:t>
      </w:r>
      <w:r>
        <w:rPr>
          <w:rFonts w:ascii="DejaVu Sans Mono" w:hAnsi="DejaVu Sans Mono"/>
          <w:b w:val="0"/>
          <w:i w:val="0"/>
          <w:sz w:val="17"/>
        </w:rPr>
        <w:t>fixed_​om×addition/​capacity</w:t>
      </w:r>
      <w:r>
        <w:rPr>
          <w:b w:val="0"/>
          <w:i w:val="0"/>
        </w:rPr>
        <w:t xml:space="preserve">. Storage capital and maintenance use the catalogue. The proposal retains its investment owner, so its later dispatch income joins that owner's group. In zonal runs, </w:t>
      </w:r>
      <w:r>
        <w:rPr>
          <w:rFonts w:ascii="DejaVu Sans Mono" w:hAnsi="DejaVu Sans Mono"/>
          <w:b w:val="0"/>
          <w:i w:val="0"/>
          <w:sz w:val="17"/>
        </w:rPr>
        <w:t>inherit_​frozen_​zone_​shares</w:t>
      </w:r>
      <w:r>
        <w:rPr>
          <w:b w:val="0"/>
          <w:i w:val="0"/>
        </w:rPr>
        <w:t xml:space="preserve"> assigns the new proposal the members' capacity-weighted zone shares.</w:t>
      </w:r>
    </w:p>
    <w:p>
      <w:pPr>
        <w:pStyle w:val="Heading2"/>
      </w:pPr>
      <w:r>
        <w:rPr>
          <w:b w:val="0"/>
          <w:i w:val="0"/>
        </w:rPr>
        <w:t>Construction timing and planning success</w:t>
      </w:r>
    </w:p>
    <w:p>
      <w:r>
        <w:rPr>
          <w:b w:val="0"/>
          <w:i w:val="0"/>
        </w:rPr>
        <w:t xml:space="preserve">Each endogenous addition enters planning at the Application Submitted stage. Initial loading copies </w:t>
      </w:r>
      <w:r>
        <w:rPr>
          <w:rFonts w:ascii="DejaVu Sans Mono" w:hAnsi="DejaVu Sans Mono"/>
          <w:b w:val="0"/>
          <w:i w:val="0"/>
          <w:sz w:val="17"/>
        </w:rPr>
        <w:t>development_​stage_​timelines</w:t>
      </w:r>
      <w:r>
        <w:rPr>
          <w:b w:val="0"/>
          <w:i w:val="0"/>
        </w:rPr>
        <w:t xml:space="preserve">, </w:t>
      </w:r>
      <w:r>
        <w:rPr>
          <w:rFonts w:ascii="DejaVu Sans Mono" w:hAnsi="DejaVu Sans Mono"/>
          <w:b w:val="0"/>
          <w:i w:val="0"/>
          <w:sz w:val="17"/>
        </w:rPr>
        <w:t>repd_status_to_timeline</w:t>
      </w:r>
      <w:r>
        <w:rPr>
          <w:b w:val="0"/>
          <w:i w:val="0"/>
        </w:rPr>
        <w:t xml:space="preserve">, </w:t>
      </w:r>
      <w:r>
        <w:rPr>
          <w:rFonts w:ascii="DejaVu Sans Mono" w:hAnsi="DejaVu Sans Mono"/>
          <w:b w:val="0"/>
          <w:i w:val="0"/>
          <w:sz w:val="17"/>
        </w:rPr>
        <w:t>success_rates</w:t>
      </w:r>
      <w:r>
        <w:rPr>
          <w:b w:val="0"/>
          <w:i w:val="0"/>
        </w:rPr>
        <w:t xml:space="preserve"> and </w:t>
      </w:r>
      <w:r>
        <w:rPr>
          <w:rFonts w:ascii="DejaVu Sans Mono" w:hAnsi="DejaVu Sans Mono"/>
          <w:b w:val="0"/>
          <w:i w:val="0"/>
          <w:sz w:val="17"/>
        </w:rPr>
        <w:t>timeline_statistic</w:t>
      </w:r>
      <w:r>
        <w:rPr>
          <w:b w:val="0"/>
          <w:i w:val="0"/>
        </w:rPr>
        <w:t xml:space="preserve"> into </w:t>
      </w:r>
      <w:r>
        <w:rPr>
          <w:rFonts w:ascii="DejaVu Sans Mono" w:hAnsi="DejaVu Sans Mono"/>
          <w:b w:val="0"/>
          <w:i w:val="0"/>
          <w:sz w:val="17"/>
        </w:rPr>
        <w:t>state.extensions["planning_parameters"]</w:t>
      </w:r>
      <w:r>
        <w:rPr>
          <w:b w:val="0"/>
          <w:i w:val="0"/>
        </w:rPr>
        <w:t xml:space="preserve">; subsequent years use the same tables. </w:t>
      </w:r>
      <w:r>
        <w:rPr>
          <w:rFonts w:ascii="DejaVu Sans Mono" w:hAnsi="DejaVu Sans Mono"/>
          <w:b w:val="0"/>
          <w:i w:val="0"/>
          <w:sz w:val="17"/>
        </w:rPr>
        <w:t>endogenous_​planning_​terms</w:t>
      </w:r>
      <w:r>
        <w:rPr>
          <w:b w:val="0"/>
          <w:i w:val="0"/>
        </w:rPr>
        <w:t xml:space="preserve"> reads these tables with the proposal's </w:t>
      </w:r>
      <w:r>
        <w:rPr>
          <w:rFonts w:ascii="DejaVu Sans Mono" w:hAnsi="DejaVu Sans Mono"/>
          <w:b w:val="0"/>
          <w:i w:val="0"/>
          <w:sz w:val="17"/>
        </w:rPr>
        <w:t>technology</w:t>
      </w:r>
      <w:r>
        <w:rPr>
          <w:b w:val="0"/>
          <w:i w:val="0"/>
        </w:rPr>
        <w:t xml:space="preserve">, </w:t>
      </w:r>
      <w:r>
        <w:rPr>
          <w:rFonts w:ascii="DejaVu Sans Mono" w:hAnsi="DejaVu Sans Mono"/>
          <w:b w:val="0"/>
          <w:i w:val="0"/>
          <w:sz w:val="17"/>
        </w:rPr>
        <w:t>owner</w:t>
      </w:r>
      <w:r>
        <w:rPr>
          <w:b w:val="0"/>
          <w:i w:val="0"/>
        </w:rPr>
        <w:t xml:space="preserve"> and </w:t>
      </w:r>
      <w:r>
        <w:rPr>
          <w:rFonts w:ascii="DejaVu Sans Mono" w:hAnsi="DejaVu Sans Mono"/>
          <w:b w:val="0"/>
          <w:i w:val="0"/>
          <w:sz w:val="17"/>
        </w:rPr>
        <w:t>decision_year</w:t>
      </w:r>
      <w:r>
        <w:rPr>
          <w:b w:val="0"/>
          <w:i w:val="0"/>
        </w:rPr>
        <w:t>.</w:t>
      </w:r>
    </w:p>
    <w:p>
      <w:r>
        <w:rPr>
          <w:b w:val="0"/>
          <w:i w:val="0"/>
        </w:rPr>
        <w:t xml:space="preserve">Technology determines the planning-table labels. Solar uses Solar Photovoltaics, onshore wind uses Wind Onshore, offshore wind uses Wind Offshore, and ordinary batteries and electrolysers use Battery. Gas, CCGT, OCGT and biomass use Wind Onshore. </w:t>
      </w:r>
      <w:r>
        <w:rPr>
          <w:rFonts w:ascii="DejaVu Sans Mono" w:hAnsi="DejaVu Sans Mono"/>
          <w:b w:val="0"/>
          <w:i w:val="0"/>
          <w:sz w:val="17"/>
        </w:rPr>
        <w:t>hydrogen_battery</w:t>
      </w:r>
      <w:r>
        <w:rPr>
          <w:b w:val="0"/>
          <w:i w:val="0"/>
        </w:rPr>
        <w:t xml:space="preserve"> uses Solar Photovoltaics. The corresponding timeline keys are </w:t>
      </w:r>
      <w:r>
        <w:rPr>
          <w:rFonts w:ascii="DejaVu Sans Mono" w:hAnsi="DejaVu Sans Mono"/>
          <w:b w:val="0"/>
          <w:i w:val="0"/>
          <w:sz w:val="17"/>
        </w:rPr>
        <w:t>solar</w:t>
      </w:r>
      <w:r>
        <w:rPr>
          <w:b w:val="0"/>
          <w:i w:val="0"/>
        </w:rPr>
        <w:t xml:space="preserve">, </w:t>
      </w:r>
      <w:r>
        <w:rPr>
          <w:rFonts w:ascii="DejaVu Sans Mono" w:hAnsi="DejaVu Sans Mono"/>
          <w:b w:val="0"/>
          <w:i w:val="0"/>
          <w:sz w:val="17"/>
        </w:rPr>
        <w:t>onshore</w:t>
      </w:r>
      <w:r>
        <w:rPr>
          <w:b w:val="0"/>
          <w:i w:val="0"/>
        </w:rPr>
        <w:t xml:space="preserve">, </w:t>
      </w:r>
      <w:r>
        <w:rPr>
          <w:rFonts w:ascii="DejaVu Sans Mono" w:hAnsi="DejaVu Sans Mono"/>
          <w:b w:val="0"/>
          <w:i w:val="0"/>
          <w:sz w:val="17"/>
        </w:rPr>
        <w:t>offshore</w:t>
      </w:r>
      <w:r>
        <w:rPr>
          <w:b w:val="0"/>
          <w:i w:val="0"/>
        </w:rPr>
        <w:t xml:space="preserve"> and </w:t>
      </w:r>
      <w:r>
        <w:rPr>
          <w:rFonts w:ascii="DejaVu Sans Mono" w:hAnsi="DejaVu Sans Mono"/>
          <w:b w:val="0"/>
          <w:i w:val="0"/>
          <w:sz w:val="17"/>
        </w:rPr>
        <w:t>battery</w:t>
      </w:r>
      <w:r>
        <w:rPr>
          <w:b w:val="0"/>
          <w:i w:val="0"/>
        </w:rPr>
        <w:t>.</w:t>
      </w:r>
    </w:p>
    <w:p>
      <w:r>
        <w:rPr>
          <w:b w:val="0"/>
          <w:i w:val="0"/>
        </w:rPr>
        <w:t xml:space="preserve">The stage table supplies development duration </w:t>
      </w:r>
      <w:r>
        <w:rPr>
          <w:rFonts w:ascii="DejaVu Sans Mono" w:hAnsi="DejaVu Sans Mono"/>
          <w:b w:val="0"/>
          <w:i w:val="0"/>
          <w:sz w:val="17"/>
        </w:rPr>
        <w:t>months</w:t>
      </w:r>
      <w:r>
        <w:rPr>
          <w:b w:val="0"/>
          <w:i w:val="0"/>
        </w:rPr>
        <w:t xml:space="preserve">. </w:t>
      </w:r>
      <w:r>
        <w:rPr>
          <w:rFonts w:ascii="DejaVu Sans Mono" w:hAnsi="DejaVu Sans Mono"/>
          <w:b w:val="0"/>
          <w:i w:val="0"/>
          <w:sz w:val="17"/>
        </w:rPr>
        <w:t>_timeline_months</w:t>
      </w:r>
      <w:r>
        <w:rPr>
          <w:b w:val="0"/>
          <w:i w:val="0"/>
        </w:rPr>
        <w:t xml:space="preserve"> normally reads total median duration for Application Submitted; </w:t>
      </w:r>
      <w:r>
        <w:rPr>
          <w:rFonts w:ascii="DejaVu Sans Mono" w:hAnsi="DejaVu Sans Mono"/>
          <w:b w:val="0"/>
          <w:i w:val="0"/>
          <w:sz w:val="17"/>
        </w:rPr>
        <w:t>planning.timeline_​statistic=mean</w:t>
      </w:r>
      <w:r>
        <w:rPr>
          <w:b w:val="0"/>
          <w:i w:val="0"/>
        </w:rPr>
        <w:t xml:space="preserve"> selects the corresponding mean. A missing technology timeline uses the </w:t>
      </w:r>
      <w:r>
        <w:rPr>
          <w:rFonts w:ascii="DejaVu Sans Mono" w:hAnsi="DejaVu Sans Mono"/>
          <w:b w:val="0"/>
          <w:i w:val="0"/>
          <w:sz w:val="17"/>
        </w:rPr>
        <w:t>solar</w:t>
      </w:r>
      <w:r>
        <w:rPr>
          <w:b w:val="0"/>
          <w:i w:val="0"/>
        </w:rPr>
        <w:t xml:space="preserve"> entry, and an absent total mean uses total median. Required durations are finite and nonnegative. The data and initial-project timing rules are specified in Chapter 2.</w:t>
      </w:r>
    </w:p>
    <w:p>
      <w:r>
        <w:rPr>
          <w:b w:val="0"/>
          <w:i w:val="0"/>
        </w:rPr>
        <w:t xml:space="preserve">The duration includes an owner-specific displacement from −6 to +6 months. </w:t>
      </w:r>
      <w:r>
        <w:rPr>
          <w:rFonts w:ascii="DejaVu Sans Mono" w:hAnsi="DejaVu Sans Mono"/>
          <w:b w:val="0"/>
          <w:i w:val="0"/>
          <w:sz w:val="17"/>
        </w:rPr>
        <w:t>model_​project_​key(owner)</w:t>
      </w:r>
      <w:r>
        <w:rPr>
          <w:b w:val="0"/>
          <w:i w:val="0"/>
        </w:rPr>
        <w:t xml:space="preserve"> returns </w:t>
      </w:r>
      <w:r>
        <w:rPr>
          <w:rFonts w:ascii="DejaVu Sans Mono" w:hAnsi="DejaVu Sans Mono"/>
          <w:b w:val="0"/>
          <w:i w:val="0"/>
          <w:sz w:val="17"/>
        </w:rPr>
        <w:t>Model Decision: &lt;owner&gt;</w:t>
      </w:r>
      <w:r>
        <w:rPr>
          <w:b w:val="0"/>
          <w:i w:val="0"/>
        </w:rPr>
        <w:t xml:space="preserve">, and </w:t>
      </w:r>
      <w:r>
        <w:rPr>
          <w:rFonts w:ascii="DejaVu Sans Mono" w:hAnsi="DejaVu Sans Mono"/>
          <w:b w:val="0"/>
          <w:i w:val="0"/>
          <w:sz w:val="17"/>
        </w:rPr>
        <w:t>stable_int_hash</w:t>
      </w:r>
      <w:r>
        <w:rPr>
          <w:b w:val="0"/>
          <w:i w:val="0"/>
        </w:rPr>
        <w:t xml:space="preserve"> converts its MD5 result to an integer using the first 16 hexadecimal digits. The following implemented arithmetic gives the completed year. </w:t>
      </w:r>
      <w:r>
        <w:rPr>
          <w:rFonts w:ascii="DejaVu Sans Mono" w:hAnsi="DejaVu Sans Mono"/>
          <w:b w:val="0"/>
          <w:i w:val="0"/>
          <w:sz w:val="17"/>
        </w:rPr>
        <w:t>round</w:t>
      </w:r>
      <w:r>
        <w:rPr>
          <w:b w:val="0"/>
          <w:i w:val="0"/>
        </w:rPr>
        <w:t xml:space="preserve"> uses ties to even, so 58.5 months rounds to 58:</w:t>
      </w:r>
    </w:p>
    <w:p>
      <w:pPr>
        <w:keepLines/>
        <w:spacing w:line="276" w:lineRule="auto" w:after="160"/>
      </w:pPr>
      <w:r>
        <w:rPr>
          <w:rFonts w:ascii="DejaVu Sans Mono" w:hAnsi="DejaVu Sans Mono"/>
          <w:b w:val="0"/>
          <w:i w:val="0"/>
          <w:sz w:val="17"/>
        </w:rPr>
        <w:t>key = model_​project_​key(owner)</w:t>
        <w:br/>
        <w:t>jitter = (stable_int_hash(key) % 13) - 6</w:t>
        <w:br/>
        <w:t>rounded_months = int(round(max(1, months + jitter)))</w:t>
        <w:br/>
        <w:t>year = int(decision_year)</w:t>
        <w:br/>
        <w:t>source_completion = year + rounded_months // 12</w:t>
        <w:br/>
        <w:t>completion = max(source_completion, year + 1)</w:t>
        <w:br/>
      </w:r>
    </w:p>
    <w:p>
      <w:r>
        <w:rPr>
          <w:b w:val="0"/>
          <w:i w:val="0"/>
        </w:rPr>
        <w:t xml:space="preserve">The proposal stores </w:t>
      </w:r>
      <w:r>
        <w:rPr>
          <w:rFonts w:ascii="DejaVu Sans Mono" w:hAnsi="DejaVu Sans Mono"/>
          <w:b w:val="0"/>
          <w:i w:val="0"/>
          <w:sz w:val="17"/>
        </w:rPr>
        <w:t>completion</w:t>
      </w:r>
      <w:r>
        <w:rPr>
          <w:b w:val="0"/>
          <w:i w:val="0"/>
        </w:rPr>
        <w:t xml:space="preserve"> as </w:t>
      </w:r>
      <w:r>
        <w:rPr>
          <w:rFonts w:ascii="DejaVu Sans Mono" w:hAnsi="DejaVu Sans Mono"/>
          <w:b w:val="0"/>
          <w:i w:val="0"/>
          <w:sz w:val="17"/>
        </w:rPr>
        <w:t>expected_​completion_​year</w:t>
      </w:r>
      <w:r>
        <w:rPr>
          <w:b w:val="0"/>
          <w:i w:val="0"/>
        </w:rPr>
        <w:t>. Thus the earliest endogenous commissioning is the year after the investment decision. For the public2 tables, 2025 offshore proposals complete in 2033 or 2034, onshore in 2029–2030, solar in 2026–2027, ordinary batteries in 2027, and thermal plant in 2030. The VALUE 101 tables use shorter durations, giving 2026 commissioning for 2025 proposals.</w:t>
      </w:r>
    </w:p>
    <w:p>
      <w:r>
        <w:rPr>
          <w:b w:val="0"/>
          <w:i w:val="0"/>
        </w:rPr>
        <w:t xml:space="preserve">Success probability is read by technology label and region. </w:t>
      </w:r>
      <w:r>
        <w:rPr>
          <w:rFonts w:ascii="DejaVu Sans Mono" w:hAnsi="DejaVu Sans Mono"/>
          <w:b w:val="0"/>
          <w:i w:val="0"/>
          <w:sz w:val="17"/>
        </w:rPr>
        <w:t>source_success_region</w:t>
      </w:r>
      <w:r>
        <w:rPr>
          <w:b w:val="0"/>
          <w:i w:val="0"/>
        </w:rPr>
        <w:t xml:space="preserve"> maps the solar and onshore owner names' cities to regions: Nottingham–East Midlands, Ipswich–Eastern, London–London, Newcastle–North East, Manchester–North West, Edinburgh–Scotland, Portsmouth–South East, Bournemouth–South West, Cardiff–Wales, Birmingham–West Midlands and Sheffield–Yorkshire and Humber. An owner name containing offshore maps to All Offshore; other owners map to England. </w:t>
      </w:r>
      <w:r>
        <w:rPr>
          <w:rFonts w:ascii="DejaVu Sans Mono" w:hAnsi="DejaVu Sans Mono"/>
          <w:b w:val="0"/>
          <w:i w:val="0"/>
          <w:sz w:val="17"/>
        </w:rPr>
        <w:t>_success_rate</w:t>
      </w:r>
      <w:r>
        <w:rPr>
          <w:b w:val="0"/>
          <w:i w:val="0"/>
        </w:rPr>
        <w:t xml:space="preserve"> first takes the matching region, then the arithmetic mean across that technology's regional entries, then 0.75. Probabilities lie in [0,1].</w:t>
      </w:r>
    </w:p>
    <w:p>
      <w:r>
        <w:rPr>
          <w:b w:val="0"/>
          <w:i w:val="0"/>
        </w:rPr>
        <w:t>The public2 offshore probability is approximately 0.917; onshore regional values are approximately 0.22–0.71 and solar values 0.84–0.95. Ordinary battery owners use approximately 0.873 and thermal owners approximately 0.547 through the technology-mean fallback. VALUE 101 uses success probability 1. These probabilities apply when the new proposal is admitted into planning.</w:t>
      </w:r>
    </w:p>
    <w:p>
      <w:r>
        <w:rPr>
          <w:b w:val="0"/>
          <w:i w:val="0"/>
        </w:rPr>
        <w:t xml:space="preserve">The default </w:t>
      </w:r>
      <w:r>
        <w:rPr>
          <w:rFonts w:ascii="DejaVu Sans Mono" w:hAnsi="DejaVu Sans Mono"/>
          <w:b w:val="0"/>
          <w:i w:val="0"/>
          <w:sz w:val="17"/>
        </w:rPr>
        <w:t>planning.success_​mode=expected</w:t>
      </w:r>
      <w:r>
        <w:rPr>
          <w:b w:val="0"/>
          <w:i w:val="0"/>
        </w:rPr>
        <w:t xml:space="preserve"> selects </w:t>
      </w:r>
      <w:r>
        <w:rPr>
          <w:rFonts w:ascii="DejaVu Sans Mono" w:hAnsi="DejaVu Sans Mono"/>
          <w:b w:val="0"/>
          <w:i w:val="0"/>
          <w:sz w:val="17"/>
        </w:rPr>
        <w:t>mode=expected_capacity</w:t>
      </w:r>
      <w:r>
        <w:rPr>
          <w:b w:val="0"/>
          <w:i w:val="0"/>
        </w:rPr>
        <w:t xml:space="preserve"> and admits </w:t>
      </w:r>
      <w:r>
        <w:rPr>
          <w:rFonts w:ascii="DejaVu Sans Mono" w:hAnsi="DejaVu Sans Mono"/>
          <w:b w:val="0"/>
          <w:i w:val="0"/>
          <w:sz w:val="17"/>
        </w:rPr>
        <w:t>capacity=proposal.capacity_​mw×probability</w:t>
      </w:r>
      <w:r>
        <w:rPr>
          <w:b w:val="0"/>
          <w:i w:val="0"/>
        </w:rPr>
        <w:t>. Energy capacity, total capital, annualised capital and annual fixed cost receive the same factor once; unit prices, lifetime and return parameters retain their values. A zero probability gives zero admission. Subsequent years commission the admitted capacity at its scheduled time.</w:t>
      </w:r>
    </w:p>
    <w:p>
      <w:r>
        <w:rPr>
          <w:rFonts w:ascii="DejaVu Sans Mono" w:hAnsi="DejaVu Sans Mono"/>
          <w:b w:val="0"/>
          <w:i w:val="0"/>
          <w:sz w:val="17"/>
        </w:rPr>
        <w:t>planning.success_​mode=stochastic</w:t>
      </w:r>
      <w:r>
        <w:rPr>
          <w:b w:val="0"/>
          <w:i w:val="0"/>
        </w:rPr>
        <w:t xml:space="preserve"> selects </w:t>
      </w:r>
      <w:r>
        <w:rPr>
          <w:rFonts w:ascii="DejaVu Sans Mono" w:hAnsi="DejaVu Sans Mono"/>
          <w:b w:val="0"/>
          <w:i w:val="0"/>
          <w:sz w:val="17"/>
        </w:rPr>
        <w:t>mode=seeded_stochastic</w:t>
      </w:r>
      <w:r>
        <w:rPr>
          <w:b w:val="0"/>
          <w:i w:val="0"/>
        </w:rPr>
        <w:t xml:space="preserve"> and admits the full proposal when a deterministic draw is below its probability. </w:t>
      </w:r>
      <w:r>
        <w:rPr>
          <w:rFonts w:ascii="DejaVu Sans Mono" w:hAnsi="DejaVu Sans Mono"/>
          <w:b w:val="0"/>
          <w:i w:val="0"/>
          <w:sz w:val="17"/>
        </w:rPr>
        <w:t>seed</w:t>
      </w:r>
      <w:r>
        <w:rPr>
          <w:b w:val="0"/>
          <w:i w:val="0"/>
        </w:rPr>
        <w:t xml:space="preserve"> comes from </w:t>
      </w:r>
      <w:r>
        <w:rPr>
          <w:rFonts w:ascii="DejaVu Sans Mono" w:hAnsi="DejaVu Sans Mono"/>
          <w:b w:val="0"/>
          <w:i w:val="0"/>
          <w:sz w:val="17"/>
        </w:rPr>
        <w:t>planning.random_seed</w:t>
      </w:r>
      <w:r>
        <w:rPr>
          <w:b w:val="0"/>
          <w:i w:val="0"/>
        </w:rPr>
        <w:t xml:space="preserve">, default 0. The proposal identifier combines </w:t>
      </w:r>
      <w:r>
        <w:rPr>
          <w:rFonts w:ascii="DejaVu Sans Mono" w:hAnsi="DejaVu Sans Mono"/>
          <w:b w:val="0"/>
          <w:i w:val="0"/>
          <w:sz w:val="17"/>
        </w:rPr>
        <w:t>run.run_id</w:t>
      </w:r>
      <w:r>
        <w:rPr>
          <w:b w:val="0"/>
          <w:i w:val="0"/>
        </w:rPr>
        <w:t>, the decision year, owner and the zero-based index of the sorted investment group. The same input fields yield the same draw; changing the run identifier changes it:</w:t>
      </w:r>
    </w:p>
    <w:p>
      <w:pPr>
        <w:keepLines/>
        <w:spacing w:line="276" w:lineRule="auto" w:after="160"/>
      </w:pPr>
      <w:r>
        <w:rPr>
          <w:rFonts w:ascii="DejaVu Sans Mono" w:hAnsi="DejaVu Sans Mono"/>
          <w:b w:val="0"/>
          <w:i w:val="0"/>
          <w:sz w:val="17"/>
        </w:rPr>
        <w:t>proposal_id = f"{run.run_id}:{market.year}:{owner}:{index}"</w:t>
        <w:br/>
        <w:t>digest = hashlib.sha256(f"{seed}:{proposal_id}".encode("utf-8")).hexdigest()</w:t>
        <w:br/>
        <w:t>draw = int(digest[:13], 16) / float(16 ** 13 - 1)</w:t>
        <w:br/>
        <w:t>success = probability &gt; 0 and (probability == 1 or draw &lt; probability)</w:t>
        <w:br/>
        <w:t>capacity = proposal.capacity_mw if success else 0</w:t>
        <w:br/>
      </w:r>
    </w:p>
    <w:p>
      <w:r>
        <w:rPr>
          <w:rFonts w:ascii="DejaVu Sans Mono" w:hAnsi="DejaVu Sans Mono"/>
          <w:b w:val="0"/>
          <w:i w:val="0"/>
          <w:sz w:val="17"/>
        </w:rPr>
        <w:t>SchemeCPlanningPipelineDefinition.admit_​projects</w:t>
      </w:r>
      <w:r>
        <w:rPr>
          <w:b w:val="0"/>
          <w:i w:val="0"/>
        </w:rPr>
        <w:t xml:space="preserve"> appends admitted projects to the active pipeline. At the start of a later year, a due project becomes an asset named </w:t>
      </w:r>
      <w:r>
        <w:rPr>
          <w:rFonts w:ascii="DejaVu Sans Mono" w:hAnsi="DejaVu Sans Mono"/>
          <w:b w:val="0"/>
          <w:i w:val="0"/>
          <w:sz w:val="17"/>
        </w:rPr>
        <w:t>commissioned:&lt;project_​id&gt;</w:t>
      </w:r>
      <w:r>
        <w:rPr>
          <w:b w:val="0"/>
          <w:i w:val="0"/>
        </w:rPr>
        <w:t xml:space="preserve">, carrying its admitted MW, MWh, owner and economic fields. Run-of-river projects require </w:t>
      </w:r>
      <w:r>
        <w:rPr>
          <w:rFonts w:ascii="DejaVu Sans Mono" w:hAnsi="DejaVu Sans Mono"/>
          <w:b w:val="0"/>
          <w:i w:val="0"/>
          <w:sz w:val="17"/>
        </w:rPr>
        <w:t>hydrology_profile_id</w:t>
      </w:r>
      <w:r>
        <w:rPr>
          <w:b w:val="0"/>
          <w:i w:val="0"/>
        </w:rPr>
        <w:t xml:space="preserve">, </w:t>
      </w:r>
      <w:r>
        <w:rPr>
          <w:rFonts w:ascii="DejaVu Sans Mono" w:hAnsi="DejaVu Sans Mono"/>
          <w:b w:val="0"/>
          <w:i w:val="0"/>
          <w:sz w:val="17"/>
        </w:rPr>
        <w:t>capital_​cost_​scope=new_​build</w:t>
      </w:r>
      <w:r>
        <w:rPr>
          <w:b w:val="0"/>
          <w:i w:val="0"/>
        </w:rPr>
        <w:t xml:space="preserve"> and </w:t>
      </w:r>
      <w:r>
        <w:rPr>
          <w:rFonts w:ascii="DejaVu Sans Mono" w:hAnsi="DejaVu Sans Mono"/>
          <w:b w:val="0"/>
          <w:i w:val="0"/>
          <w:sz w:val="17"/>
        </w:rPr>
        <w:t>new_​build_​cost_​source_​id</w:t>
      </w:r>
      <w:r>
        <w:rPr>
          <w:b w:val="0"/>
          <w:i w:val="0"/>
        </w:rPr>
        <w:t xml:space="preserve">; pumped hydro additionally requires </w:t>
      </w:r>
      <w:r>
        <w:rPr>
          <w:rFonts w:ascii="DejaVu Sans Mono" w:hAnsi="DejaVu Sans Mono"/>
          <w:b w:val="0"/>
          <w:i w:val="0"/>
          <w:sz w:val="17"/>
        </w:rPr>
        <w:t>site_constraint_id</w:t>
      </w:r>
      <w:r>
        <w:rPr>
          <w:b w:val="0"/>
          <w:i w:val="0"/>
        </w:rPr>
        <w:t xml:space="preserve"> and </w:t>
      </w:r>
      <w:r>
        <w:rPr>
          <w:rFonts w:ascii="DejaVu Sans Mono" w:hAnsi="DejaVu Sans Mono"/>
          <w:b w:val="0"/>
          <w:i w:val="0"/>
          <w:sz w:val="17"/>
        </w:rPr>
        <w:t>energy_capacity_mwh</w:t>
      </w:r>
      <w:r>
        <w:rPr>
          <w:b w:val="0"/>
          <w:i w:val="0"/>
        </w:rPr>
        <w:t>. A due project with missing site fields remains deferred in the pipeline.</w:t>
      </w:r>
    </w:p>
    <w:p>
      <w:pPr>
        <w:pStyle w:val="Heading2"/>
      </w:pPr>
      <w:r>
        <w:rPr>
          <w:b w:val="0"/>
          <w:i w:val="0"/>
        </w:rPr>
        <w:t>State update and annual outputs</w:t>
      </w:r>
    </w:p>
    <w:p>
      <w:r>
        <w:rPr>
          <w:b w:val="0"/>
          <w:i w:val="0"/>
        </w:rPr>
        <w:t xml:space="preserve">Retirements change the following year's capacity and economic quantities. </w:t>
      </w:r>
      <w:r>
        <w:rPr>
          <w:rFonts w:ascii="DejaVu Sans Mono" w:hAnsi="DejaVu Sans Mono"/>
          <w:b w:val="0"/>
          <w:i w:val="0"/>
          <w:sz w:val="17"/>
        </w:rPr>
        <w:t>SchemeCStateTransitionDefinition.apply</w:t>
      </w:r>
      <w:r>
        <w:rPr>
          <w:b w:val="0"/>
          <w:i w:val="0"/>
        </w:rPr>
        <w:t xml:space="preserve"> sets </w:t>
      </w:r>
      <w:r>
        <w:rPr>
          <w:rFonts w:ascii="DejaVu Sans Mono" w:hAnsi="DejaVu Sans Mono"/>
          <w:b w:val="0"/>
          <w:i w:val="0"/>
          <w:sz w:val="17"/>
        </w:rPr>
        <w:t>next_​year=current_​state.year+1</w:t>
      </w:r>
      <w:r>
        <w:rPr>
          <w:b w:val="0"/>
          <w:i w:val="0"/>
        </w:rPr>
        <w:t xml:space="preserve">. If an asset's declared </w:t>
      </w:r>
      <w:r>
        <w:rPr>
          <w:rFonts w:ascii="DejaVu Sans Mono" w:hAnsi="DejaVu Sans Mono"/>
          <w:b w:val="0"/>
          <w:i w:val="0"/>
          <w:sz w:val="17"/>
        </w:rPr>
        <w:t>model_​unavailable_​from_​year</w:t>
      </w:r>
      <w:r>
        <w:rPr>
          <w:b w:val="0"/>
          <w:i w:val="0"/>
        </w:rPr>
        <w:t xml:space="preserve"> has been reached, the full asset retires; otherwise the requested retirement applies. </w:t>
      </w:r>
      <w:r>
        <w:rPr>
          <w:rFonts w:ascii="DejaVu Sans Mono" w:hAnsi="DejaVu Sans Mono"/>
          <w:b w:val="0"/>
          <w:i w:val="0"/>
          <w:sz w:val="17"/>
        </w:rPr>
        <w:t>resize_asset_economics</w:t>
      </w:r>
      <w:r>
        <w:rPr>
          <w:b w:val="0"/>
          <w:i w:val="0"/>
        </w:rPr>
        <w:t xml:space="preserve"> limits capacity at zero and scales energy capacity, fixed maintenance and capital with the surviving asset:</w:t>
      </w:r>
    </w:p>
    <w:p>
      <w:pPr>
        <w:keepLines/>
        <w:spacing w:line="276" w:lineRule="auto" w:after="160"/>
      </w:pPr>
      <w:r>
        <w:rPr>
          <w:rFonts w:ascii="DejaVu Sans Mono" w:hAnsi="DejaVu Sans Mono"/>
          <w:b w:val="0"/>
          <w:i w:val="0"/>
          <w:sz w:val="17"/>
        </w:rPr>
        <w:t>new_capacity = max(capacity_mw, 0)</w:t>
        <w:br/>
        <w:t>ratio = new_capacity / old_capacity</w:t>
        <w:br/>
        <w:t>new_energy = old_energy * ratio</w:t>
        <w:br/>
        <w:t>total_capex = (capital_cost_per_mw * new_capacity</w:t>
        <w:br/>
        <w:t xml:space="preserve">               + capital_cost_per_mwh * new_energy)</w:t>
        <w:br/>
        <w:t>annual_fixed_opex_gbp *= ratio</w:t>
        <w:br/>
        <w:t>annualized_​capital_​cost_​gbp = total_capex * capital_​recovery_​factor(</w:t>
        <w:br/>
        <w:t xml:space="preserve">    capital_discount_rate, economic_​lifetime_​years)</w:t>
        <w:br/>
      </w:r>
    </w:p>
    <w:p>
      <w:r>
        <w:rPr>
          <w:b w:val="0"/>
          <w:i w:val="0"/>
        </w:rPr>
        <w:t xml:space="preserve">Here </w:t>
      </w:r>
      <w:r>
        <w:rPr>
          <w:rFonts w:ascii="DejaVu Sans Mono" w:hAnsi="DejaVu Sans Mono"/>
          <w:b w:val="0"/>
          <w:i w:val="0"/>
          <w:sz w:val="17"/>
        </w:rPr>
        <w:t>capacity_mw</w:t>
      </w:r>
      <w:r>
        <w:rPr>
          <w:b w:val="0"/>
          <w:i w:val="0"/>
        </w:rPr>
        <w:t xml:space="preserve"> is old capacity less requested retirement, </w:t>
      </w:r>
      <w:r>
        <w:rPr>
          <w:rFonts w:ascii="DejaVu Sans Mono" w:hAnsi="DejaVu Sans Mono"/>
          <w:b w:val="0"/>
          <w:i w:val="0"/>
          <w:sz w:val="17"/>
        </w:rPr>
        <w:t>old_capacity</w:t>
      </w:r>
      <w:r>
        <w:rPr>
          <w:b w:val="0"/>
          <w:i w:val="0"/>
        </w:rPr>
        <w:t xml:space="preserve"> and </w:t>
      </w:r>
      <w:r>
        <w:rPr>
          <w:rFonts w:ascii="DejaVu Sans Mono" w:hAnsi="DejaVu Sans Mono"/>
          <w:b w:val="0"/>
          <w:i w:val="0"/>
          <w:sz w:val="17"/>
        </w:rPr>
        <w:t>new_capacity</w:t>
      </w:r>
      <w:r>
        <w:rPr>
          <w:b w:val="0"/>
          <w:i w:val="0"/>
        </w:rPr>
        <w:t xml:space="preserve"> are MW, and </w:t>
      </w:r>
      <w:r>
        <w:rPr>
          <w:rFonts w:ascii="DejaVu Sans Mono" w:hAnsi="DejaVu Sans Mono"/>
          <w:b w:val="0"/>
          <w:i w:val="0"/>
          <w:sz w:val="17"/>
        </w:rPr>
        <w:t>old_energy</w:t>
      </w:r>
      <w:r>
        <w:rPr>
          <w:b w:val="0"/>
          <w:i w:val="0"/>
        </w:rPr>
        <w:t xml:space="preserve"> and </w:t>
      </w:r>
      <w:r>
        <w:rPr>
          <w:rFonts w:ascii="DejaVu Sans Mono" w:hAnsi="DejaVu Sans Mono"/>
          <w:b w:val="0"/>
          <w:i w:val="0"/>
          <w:sz w:val="17"/>
        </w:rPr>
        <w:t>new_energy</w:t>
      </w:r>
      <w:r>
        <w:rPr>
          <w:b w:val="0"/>
          <w:i w:val="0"/>
        </w:rPr>
        <w:t xml:space="preserve"> are MWh for storage. For a project-level capital amount with both unit capital fields equal to zero, </w:t>
      </w:r>
      <w:r>
        <w:rPr>
          <w:rFonts w:ascii="DejaVu Sans Mono" w:hAnsi="DejaVu Sans Mono"/>
          <w:b w:val="0"/>
          <w:i w:val="0"/>
          <w:sz w:val="17"/>
        </w:rPr>
        <w:t>total_capex</w:t>
      </w:r>
      <w:r>
        <w:rPr>
          <w:b w:val="0"/>
          <w:i w:val="0"/>
        </w:rPr>
        <w:t xml:space="preserve"> is its previous capital multiplied by </w:t>
      </w:r>
      <w:r>
        <w:rPr>
          <w:rFonts w:ascii="DejaVu Sans Mono" w:hAnsi="DejaVu Sans Mono"/>
          <w:b w:val="0"/>
          <w:i w:val="0"/>
          <w:sz w:val="17"/>
        </w:rPr>
        <w:t>ratio</w:t>
      </w:r>
      <w:r>
        <w:rPr>
          <w:b w:val="0"/>
          <w:i w:val="0"/>
        </w:rPr>
        <w:t xml:space="preserve">. A zero remaining capacity sets the asset status to </w:t>
      </w:r>
      <w:r>
        <w:rPr>
          <w:rFonts w:ascii="DejaVu Sans Mono" w:hAnsi="DejaVu Sans Mono"/>
          <w:b w:val="0"/>
          <w:i w:val="0"/>
          <w:sz w:val="17"/>
        </w:rPr>
        <w:t>retired</w:t>
      </w:r>
      <w:r>
        <w:rPr>
          <w:b w:val="0"/>
          <w:i w:val="0"/>
        </w:rPr>
        <w:t>. Economic lifetime determines annualisation and the investment payback fallback; scheduled retirement uses the declared unavailable year or the loss-based retirement quantity above.</w:t>
      </w:r>
    </w:p>
    <w:p>
      <w:r>
        <w:rPr>
          <w:b w:val="0"/>
          <w:i w:val="0"/>
        </w:rPr>
        <w:t xml:space="preserve">The next </w:t>
      </w:r>
      <w:r>
        <w:rPr>
          <w:rFonts w:ascii="DejaVu Sans Mono" w:hAnsi="DejaVu Sans Mono"/>
          <w:b w:val="0"/>
          <w:i w:val="0"/>
          <w:sz w:val="17"/>
        </w:rPr>
        <w:t>YearState</w:t>
      </w:r>
      <w:r>
        <w:rPr>
          <w:b w:val="0"/>
          <w:i w:val="0"/>
        </w:rPr>
        <w:t xml:space="preserve"> contains surviving assets, </w:t>
      </w:r>
      <w:r>
        <w:rPr>
          <w:rFonts w:ascii="DejaVu Sans Mono" w:hAnsi="DejaVu Sans Mono"/>
          <w:b w:val="0"/>
          <w:i w:val="0"/>
          <w:sz w:val="17"/>
        </w:rPr>
        <w:t>admission.next_pipeline</w:t>
      </w:r>
      <w:r>
        <w:rPr>
          <w:b w:val="0"/>
          <w:i w:val="0"/>
        </w:rPr>
        <w:t xml:space="preserve"> and the year's storage-cost observations. </w:t>
      </w:r>
      <w:r>
        <w:rPr>
          <w:rFonts w:ascii="DejaVu Sans Mono" w:hAnsi="DejaVu Sans Mono"/>
          <w:b w:val="0"/>
          <w:i w:val="0"/>
          <w:sz w:val="17"/>
        </w:rPr>
        <w:t>transition_state</w:t>
      </w:r>
      <w:r>
        <w:rPr>
          <w:b w:val="0"/>
          <w:i w:val="0"/>
        </w:rPr>
        <w:t xml:space="preserve"> supplies the commissioned operating fleet, continuing projects and updated observations to </w:t>
      </w:r>
      <w:r>
        <w:rPr>
          <w:rFonts w:ascii="DejaVu Sans Mono" w:hAnsi="DejaVu Sans Mono"/>
          <w:b w:val="0"/>
          <w:i w:val="0"/>
          <w:sz w:val="17"/>
        </w:rPr>
        <w:t>transition.apply</w:t>
      </w:r>
      <w:r>
        <w:rPr>
          <w:b w:val="0"/>
          <w:i w:val="0"/>
        </w:rPr>
        <w:t>; its output year advances by one. Physical storage restarts from the Chapter 4 opening conditions, while sales observations feed the next annual cost calculation.</w:t>
      </w:r>
    </w:p>
    <w:p>
      <w:r>
        <w:rPr>
          <w:b w:val="0"/>
          <w:i w:val="0"/>
        </w:rPr>
        <w:t xml:space="preserve">Annual outputs contain dispatch energy, income, system cost, technology limits, investment proposals, planning admissions and next-year capacity. Cost per served MWh uses the account above. Chapter 9 defines operational and embodied emissions, storage-carbon tracing and the construction emissions of optional network additions. At the study horizon, </w:t>
      </w:r>
      <w:r>
        <w:rPr>
          <w:rFonts w:ascii="DejaVu Sans Mono" w:hAnsi="DejaVu Sans Mono"/>
          <w:b w:val="0"/>
          <w:i w:val="0"/>
          <w:sz w:val="17"/>
        </w:rPr>
        <w:t>report_only</w:t>
      </w:r>
      <w:r>
        <w:rPr>
          <w:b w:val="0"/>
          <w:i w:val="0"/>
        </w:rPr>
        <w:t xml:space="preserve"> returns the final state, </w:t>
      </w:r>
      <w:r>
        <w:rPr>
          <w:rFonts w:ascii="DejaVu Sans Mono" w:hAnsi="DejaVu Sans Mono"/>
          <w:b w:val="0"/>
          <w:i w:val="0"/>
          <w:sz w:val="17"/>
        </w:rPr>
        <w:t>pipeline_tail</w:t>
      </w:r>
      <w:r>
        <w:rPr>
          <w:b w:val="0"/>
          <w:i w:val="0"/>
        </w:rPr>
        <w:t xml:space="preserve"> advances projects already in the pipeline, and </w:t>
      </w:r>
      <w:r>
        <w:rPr>
          <w:rFonts w:ascii="DejaVu Sans Mono" w:hAnsi="DejaVu Sans Mono"/>
          <w:b w:val="0"/>
          <w:i w:val="0"/>
          <w:sz w:val="17"/>
        </w:rPr>
        <w:t>full_extension</w:t>
      </w:r>
      <w:r>
        <w:rPr>
          <w:b w:val="0"/>
          <w:i w:val="0"/>
        </w:rPr>
        <w:t xml:space="preserve"> continues annual operation and investment.</w:t>
      </w:r>
    </w:p>
    <w:p>
      <w:pPr>
        <w:pStyle w:val="Heading1"/>
      </w:pPr>
      <w:r>
        <w:rPr>
          <w:b w:val="0"/>
          <w:i w:val="0"/>
        </w:rPr>
        <w:t>7 Transmission and network constraints</w:t>
      </w:r>
    </w:p>
    <w:p>
      <w:pPr>
        <w:pStyle w:val="Heading2"/>
      </w:pPr>
      <w:r>
        <w:rPr>
          <w:b w:val="0"/>
          <w:i w:val="0"/>
        </w:rPr>
        <w:t>Spatial representation of zonal redispatch</w:t>
      </w:r>
    </w:p>
    <w:p>
      <w:r>
        <w:rPr>
          <w:b w:val="0"/>
          <w:i w:val="0"/>
        </w:rPr>
        <w:t>Zonal redispatch determines generation adjustments, storage operation and transfers that serve each zone after a national ahead market. Each half-hour uses a lossless transport model: final injections satisfy zonal demand, corridor limits and geographical boundary capacities. The British input contains 23 zones and 22 computational corridors. The DC and AC formulations below use bus and branch inputs.</w:t>
      </w:r>
    </w:p>
    <w:p>
      <w:r>
        <w:rPr>
          <w:b w:val="0"/>
          <w:i w:val="0"/>
        </w:rPr>
        <w:t xml:space="preserve">The British network inputs are supplied in </w:t>
      </w:r>
      <w:r>
        <w:rPr>
          <w:rFonts w:ascii="DejaVu Sans Mono" w:hAnsi="DejaVu Sans Mono"/>
          <w:b w:val="0"/>
          <w:i w:val="0"/>
          <w:sz w:val="17"/>
        </w:rPr>
        <w:t>value-uk-research-suite-v1-public2</w:t>
      </w:r>
      <w:r>
        <w:rPr>
          <w:b w:val="0"/>
          <w:i w:val="0"/>
        </w:rPr>
        <w:t xml:space="preserve">. The </w:t>
      </w:r>
      <w:r>
        <w:rPr>
          <w:rFonts w:ascii="DejaVu Sans Mono" w:hAnsi="DejaVu Sans Mono"/>
          <w:b w:val="0"/>
          <w:i w:val="0"/>
          <w:sz w:val="17"/>
        </w:rPr>
        <w:t>zones</w:t>
      </w:r>
      <w:r>
        <w:rPr>
          <w:b w:val="0"/>
          <w:i w:val="0"/>
        </w:rPr>
        <w:t xml:space="preserve"> table defines the regions, </w:t>
      </w:r>
      <w:r>
        <w:rPr>
          <w:rFonts w:ascii="DejaVu Sans Mono" w:hAnsi="DejaVu Sans Mono"/>
          <w:b w:val="0"/>
          <w:i w:val="0"/>
          <w:sz w:val="17"/>
        </w:rPr>
        <w:t>corridors</w:t>
      </w:r>
      <w:r>
        <w:rPr>
          <w:b w:val="0"/>
          <w:i w:val="0"/>
        </w:rPr>
        <w:t xml:space="preserve"> gives directed connections, </w:t>
      </w:r>
      <w:r>
        <w:rPr>
          <w:rFonts w:ascii="DejaVu Sans Mono" w:hAnsi="DejaVu Sans Mono"/>
          <w:b w:val="0"/>
          <w:i w:val="0"/>
          <w:sz w:val="17"/>
        </w:rPr>
        <w:t>cutsets</w:t>
      </w:r>
      <w:r>
        <w:rPr>
          <w:b w:val="0"/>
          <w:i w:val="0"/>
        </w:rPr>
        <w:t xml:space="preserve"> assigns corridors to geographical boundaries, </w:t>
      </w:r>
      <w:r>
        <w:rPr>
          <w:rFonts w:ascii="DejaVu Sans Mono" w:hAnsi="DejaVu Sans Mono"/>
          <w:b w:val="0"/>
          <w:i w:val="0"/>
          <w:sz w:val="17"/>
        </w:rPr>
        <w:t>ratings</w:t>
      </w:r>
      <w:r>
        <w:rPr>
          <w:b w:val="0"/>
          <w:i w:val="0"/>
        </w:rPr>
        <w:t xml:space="preserve"> supplies time-dependent limits, </w:t>
      </w:r>
      <w:r>
        <w:rPr>
          <w:rFonts w:ascii="DejaVu Sans Mono" w:hAnsi="DejaVu Sans Mono"/>
          <w:b w:val="0"/>
          <w:i w:val="0"/>
          <w:sz w:val="17"/>
        </w:rPr>
        <w:t>asset-map</w:t>
      </w:r>
      <w:r>
        <w:rPr>
          <w:b w:val="0"/>
          <w:i w:val="0"/>
        </w:rPr>
        <w:t xml:space="preserve"> assigns resources to zones, </w:t>
      </w:r>
      <w:r>
        <w:rPr>
          <w:rFonts w:ascii="DejaVu Sans Mono" w:hAnsi="DejaVu Sans Mono"/>
          <w:b w:val="0"/>
          <w:i w:val="0"/>
          <w:sz w:val="17"/>
        </w:rPr>
        <w:t>demand</w:t>
      </w:r>
      <w:r>
        <w:rPr>
          <w:b w:val="0"/>
          <w:i w:val="0"/>
        </w:rPr>
        <w:t xml:space="preserve"> supplies zonal MWh, and </w:t>
      </w:r>
      <w:r>
        <w:rPr>
          <w:rFonts w:ascii="DejaVu Sans Mono" w:hAnsi="DejaVu Sans Mono"/>
          <w:b w:val="0"/>
          <w:i w:val="0"/>
          <w:sz w:val="17"/>
        </w:rPr>
        <w:t>interconnector-landings</w:t>
      </w:r>
      <w:r>
        <w:rPr>
          <w:b w:val="0"/>
          <w:i w:val="0"/>
        </w:rPr>
        <w:t xml:space="preserve"> assigns import/export assets to landing zones. B6 and B7a have symmetric capacities of 6,700 and 9,400 MW. The supplied 2025–2034 configuration holds these capacities fixed.</w:t>
      </w:r>
    </w:p>
    <w:p>
      <w:r>
        <w:rPr>
          <w:b w:val="0"/>
          <w:i w:val="0"/>
        </w:rPr>
        <w:t xml:space="preserve">Asset location follows a fixed precedence. </w:t>
      </w:r>
      <w:r>
        <w:rPr>
          <w:rFonts w:ascii="DejaVu Sans Mono" w:hAnsi="DejaVu Sans Mono"/>
          <w:b w:val="0"/>
          <w:i w:val="0"/>
          <w:sz w:val="17"/>
        </w:rPr>
        <w:t>_​zone_​shares_​with_​source</w:t>
      </w:r>
      <w:r>
        <w:rPr>
          <w:b w:val="0"/>
          <w:i w:val="0"/>
        </w:rPr>
        <w:t xml:space="preserve"> first uses </w:t>
      </w:r>
      <w:r>
        <w:rPr>
          <w:rFonts w:ascii="DejaVu Sans Mono" w:hAnsi="DejaVu Sans Mono"/>
          <w:b w:val="0"/>
          <w:i w:val="0"/>
          <w:sz w:val="17"/>
        </w:rPr>
        <w:t>frozen_zone_shares</w:t>
      </w:r>
      <w:r>
        <w:rPr>
          <w:b w:val="0"/>
          <w:i w:val="0"/>
        </w:rPr>
        <w:t xml:space="preserve">, then matches </w:t>
      </w:r>
      <w:r>
        <w:rPr>
          <w:rFonts w:ascii="DejaVu Sans Mono" w:hAnsi="DejaVu Sans Mono"/>
          <w:b w:val="0"/>
          <w:i w:val="0"/>
          <w:sz w:val="17"/>
        </w:rPr>
        <w:t>asset_id</w:t>
      </w:r>
      <w:r>
        <w:rPr>
          <w:b w:val="0"/>
          <w:i w:val="0"/>
        </w:rPr>
        <w:t xml:space="preserve"> in </w:t>
      </w:r>
      <w:r>
        <w:rPr>
          <w:rFonts w:ascii="DejaVu Sans Mono" w:hAnsi="DejaVu Sans Mono"/>
          <w:b w:val="0"/>
          <w:i w:val="0"/>
          <w:sz w:val="17"/>
        </w:rPr>
        <w:t>asset-map</w:t>
      </w:r>
      <w:r>
        <w:rPr>
          <w:b w:val="0"/>
          <w:i w:val="0"/>
        </w:rPr>
        <w:t xml:space="preserve">, then matches it in </w:t>
      </w:r>
      <w:r>
        <w:rPr>
          <w:rFonts w:ascii="DejaVu Sans Mono" w:hAnsi="DejaVu Sans Mono"/>
          <w:b w:val="0"/>
          <w:i w:val="0"/>
          <w:sz w:val="17"/>
        </w:rPr>
        <w:t>interconnector-landings</w:t>
      </w:r>
      <w:r>
        <w:rPr>
          <w:b w:val="0"/>
          <w:i w:val="0"/>
        </w:rPr>
        <w:t xml:space="preserve">, and finally assigns the asset to the single zone marked </w:t>
      </w:r>
      <w:r>
        <w:rPr>
          <w:rFonts w:ascii="DejaVu Sans Mono" w:hAnsi="DejaVu Sans Mono"/>
          <w:b w:val="0"/>
          <w:i w:val="0"/>
          <w:sz w:val="17"/>
        </w:rPr>
        <w:t>is_​unconstrained_​fallback</w:t>
      </w:r>
      <w:r>
        <w:rPr>
          <w:b w:val="0"/>
          <w:i w:val="0"/>
        </w:rPr>
        <w:t xml:space="preserve">. Shares sum to 1 within a tolerance of </w:t>
      </w:r>
      <w:r>
        <w:drawing>
          <wp:inline xmlns:a="http://schemas.openxmlformats.org/drawingml/2006/main" xmlns:pic="http://schemas.openxmlformats.org/drawingml/2006/picture">
            <wp:extent cx="328247" cy="146617"/>
            <wp:docPr id="111" name="Picture 111"/>
            <wp:cNvGraphicFramePr>
              <a:graphicFrameLocks noChangeAspect="1"/>
            </wp:cNvGraphicFramePr>
            <a:graphic>
              <a:graphicData uri="http://schemas.openxmlformats.org/drawingml/2006/picture">
                <pic:pic>
                  <pic:nvPicPr>
                    <pic:cNvPr id="0" name="eq-111.png"/>
                    <pic:cNvPicPr/>
                  </pic:nvPicPr>
                  <pic:blipFill>
                    <a:blip r:embed="rId114"/>
                    <a:stretch>
                      <a:fillRect/>
                    </a:stretch>
                  </pic:blipFill>
                  <pic:spPr>
                    <a:xfrm>
                      <a:off x="0" y="0"/>
                      <a:ext cx="328247" cy="146617"/>
                    </a:xfrm>
                    <a:prstGeom prst="rect"/>
                  </pic:spPr>
                </pic:pic>
              </a:graphicData>
            </a:graphic>
          </wp:inline>
        </w:drawing>
      </w:r>
      <w:r>
        <w:rPr>
          <w:b w:val="0"/>
          <w:i w:val="0"/>
        </w:rPr>
        <w:t>. An asset occupying several zones becomes a physical unit in each zone with capacity, storage power, energy and opening inventory multiplied by its share; all units retain their original investment owner.</w:t>
      </w:r>
    </w:p>
    <w:p>
      <w:r>
        <w:rPr>
          <w:b w:val="0"/>
          <w:i w:val="0"/>
        </w:rPr>
        <w:t xml:space="preserve">The supplied mapping places wind and solar by site and assigns CCGT, OCGT, biomass, run-of-river hydro, nuclear, storage and imports to </w:t>
      </w:r>
      <w:r>
        <w:rPr>
          <w:rFonts w:ascii="DejaVu Sans Mono" w:hAnsi="DejaVu Sans Mono"/>
          <w:b w:val="0"/>
          <w:i w:val="0"/>
          <w:sz w:val="17"/>
        </w:rPr>
        <w:t>ENGLAND_FALLBACK</w:t>
      </w:r>
      <w:r>
        <w:rPr>
          <w:b w:val="0"/>
          <w:i w:val="0"/>
        </w:rPr>
        <w:t xml:space="preserve">. The fallback node connects to the declared central transport zone. Nuclear stations created from the station policy enter through that fallback, including Torness, whose geographical location is north of B6. Import resource names use </w:t>
      </w:r>
      <w:r>
        <w:rPr>
          <w:rFonts w:ascii="DejaVu Sans Mono" w:hAnsi="DejaVu Sans Mono"/>
          <w:b w:val="0"/>
          <w:i w:val="0"/>
          <w:sz w:val="17"/>
        </w:rPr>
        <w:t>import:&lt;country&gt;</w:t>
      </w:r>
      <w:r>
        <w:rPr>
          <w:b w:val="0"/>
          <w:i w:val="0"/>
        </w:rPr>
        <w:t xml:space="preserve">, while landing-table names use </w:t>
      </w:r>
      <w:r>
        <w:rPr>
          <w:rFonts w:ascii="DejaVu Sans Mono" w:hAnsi="DejaVu Sans Mono"/>
          <w:b w:val="0"/>
          <w:i w:val="0"/>
          <w:sz w:val="17"/>
        </w:rPr>
        <w:t>interconnector:&lt;line&gt;</w:t>
      </w:r>
      <w:r>
        <w:rPr>
          <w:b w:val="0"/>
          <w:i w:val="0"/>
        </w:rPr>
        <w:t>; exact identifier matching therefore sends these imports to the fallback node. These assignments determine the injections subject to the B6 and B7a constraints.</w:t>
      </w:r>
    </w:p>
    <w:p>
      <w:pPr>
        <w:keepNext/>
      </w:pPr>
      <w:r>
        <w:rPr>
          <w:b w:val="0"/>
          <w:i w:val="0"/>
        </w:rPr>
        <w:t xml:space="preserve">Demand follows the spatial rule selected for the case. </w:t>
      </w:r>
      <w:r>
        <w:rPr>
          <w:rFonts w:ascii="DejaVu Sans Mono" w:hAnsi="DejaVu Sans Mono"/>
          <w:b w:val="0"/>
          <w:i w:val="0"/>
          <w:sz w:val="17"/>
        </w:rPr>
        <w:t>align_zonal_demand</w:t>
      </w:r>
      <w:r>
        <w:rPr>
          <w:b w:val="0"/>
          <w:i w:val="0"/>
        </w:rPr>
        <w:t xml:space="preserve"> preserves the network pack's zonal shares for the 23-zone study and scales them to national scenario demand. Its arrays </w:t>
      </w:r>
      <w:r>
        <w:rPr>
          <w:rFonts w:ascii="DejaVu Sans Mono" w:hAnsi="DejaVu Sans Mono"/>
          <w:b w:val="0"/>
          <w:i w:val="0"/>
          <w:sz w:val="17"/>
        </w:rPr>
        <w:t>aligned</w:t>
      </w:r>
      <w:r>
        <w:rPr>
          <w:b w:val="0"/>
          <w:i w:val="0"/>
        </w:rPr>
        <w:t xml:space="preserve">, </w:t>
      </w:r>
      <w:r>
        <w:rPr>
          <w:rFonts w:ascii="DejaVu Sans Mono" w:hAnsi="DejaVu Sans Mono"/>
          <w:b w:val="0"/>
          <w:i w:val="0"/>
          <w:sz w:val="17"/>
        </w:rPr>
        <w:t>output_real</w:t>
      </w:r>
      <w:r>
        <w:rPr>
          <w:b w:val="0"/>
          <w:i w:val="0"/>
        </w:rPr>
        <w:t xml:space="preserve">, </w:t>
      </w:r>
      <w:r>
        <w:rPr>
          <w:rFonts w:ascii="DejaVu Sans Mono" w:hAnsi="DejaVu Sans Mono"/>
          <w:b w:val="0"/>
          <w:i w:val="0"/>
          <w:sz w:val="17"/>
        </w:rPr>
        <w:t>network_​demand_​mwh_​by_​zone</w:t>
      </w:r>
      <w:r>
        <w:rPr>
          <w:b w:val="0"/>
          <w:i w:val="0"/>
        </w:rPr>
        <w:t xml:space="preserve"> and </w:t>
      </w:r>
      <w:r>
        <w:rPr>
          <w:rFonts w:ascii="DejaVu Sans Mono" w:hAnsi="DejaVu Sans Mono"/>
          <w:b w:val="0"/>
          <w:i w:val="0"/>
          <w:sz w:val="17"/>
        </w:rPr>
        <w:t>network_national_mwh</w:t>
      </w:r>
      <w:r>
        <w:rPr>
          <w:b w:val="0"/>
          <w:i w:val="0"/>
        </w:rPr>
        <w:t xml:space="preserve"> are MWh; zone and period indices are </w:t>
      </w:r>
      <w:r>
        <w:drawing>
          <wp:inline xmlns:a="http://schemas.openxmlformats.org/drawingml/2006/main" xmlns:pic="http://schemas.openxmlformats.org/drawingml/2006/picture">
            <wp:extent cx="209946" cy="135590"/>
            <wp:docPr id="112" name="Picture 112"/>
            <wp:cNvGraphicFramePr>
              <a:graphicFrameLocks noChangeAspect="1"/>
            </wp:cNvGraphicFramePr>
            <a:graphic>
              <a:graphicData uri="http://schemas.openxmlformats.org/drawingml/2006/picture">
                <pic:pic>
                  <pic:nvPicPr>
                    <pic:cNvPr id="0" name="eq-112.png"/>
                    <pic:cNvPicPr/>
                  </pic:nvPicPr>
                  <pic:blipFill>
                    <a:blip r:embed="rId115"/>
                    <a:stretch>
                      <a:fillRect/>
                    </a:stretch>
                  </pic:blipFill>
                  <pic:spPr>
                    <a:xfrm>
                      <a:off x="0" y="0"/>
                      <a:ext cx="209946" cy="135590"/>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4083481" cy="631042"/>
            <wp:docPr id="113" name="Picture 113"/>
            <wp:cNvGraphicFramePr>
              <a:graphicFrameLocks noChangeAspect="1"/>
            </wp:cNvGraphicFramePr>
            <a:graphic>
              <a:graphicData uri="http://schemas.openxmlformats.org/drawingml/2006/picture">
                <pic:pic>
                  <pic:nvPicPr>
                    <pic:cNvPr id="0" name="eq-113.png"/>
                    <pic:cNvPicPr/>
                  </pic:nvPicPr>
                  <pic:blipFill>
                    <a:blip r:embed="rId116"/>
                    <a:stretch>
                      <a:fillRect/>
                    </a:stretch>
                  </pic:blipFill>
                  <pic:spPr>
                    <a:xfrm>
                      <a:off x="0" y="0"/>
                      <a:ext cx="4083481" cy="631042"/>
                    </a:xfrm>
                    <a:prstGeom prst="rect"/>
                  </pic:spPr>
                </pic:pic>
              </a:graphicData>
            </a:graphic>
          </wp:inline>
        </w:drawing>
      </w:r>
    </w:p>
    <w:p>
      <w:r>
        <w:rPr>
          <w:b w:val="0"/>
          <w:i w:val="0"/>
        </w:rPr>
        <w:t xml:space="preserve">The last zone receives national demand less the sum allocated to the preceding zones. When both national totals are zero, the scale is 1; a positive scenario demand requires a positive network total. The resulting </w:t>
      </w:r>
      <w:r>
        <w:rPr>
          <w:rFonts w:ascii="DejaVu Sans Mono" w:hAnsi="DejaVu Sans Mono"/>
          <w:b w:val="0"/>
          <w:i w:val="0"/>
          <w:sz w:val="17"/>
        </w:rPr>
        <w:t>demand_mwh_by_zone</w:t>
      </w:r>
      <w:r>
        <w:rPr>
          <w:b w:val="0"/>
          <w:i w:val="0"/>
        </w:rPr>
        <w:t xml:space="preserve"> enters the period problem with asset locations, realised availability and interconnector import/export envelopes.</w:t>
      </w:r>
    </w:p>
    <w:p>
      <w:pPr>
        <w:pStyle w:val="Heading2"/>
      </w:pPr>
      <w:r>
        <w:rPr>
          <w:b w:val="0"/>
          <w:i w:val="0"/>
        </w:rPr>
        <w:t>Ahead schedule and adjustment bids</w:t>
      </w:r>
    </w:p>
    <w:p>
      <w:r>
        <w:rPr>
          <w:b w:val="0"/>
          <w:i w:val="0"/>
        </w:rPr>
        <w:t xml:space="preserve">The network module builds its ahead schedule from period resource availability and opening storage inventory. </w:t>
      </w:r>
      <w:r>
        <w:rPr>
          <w:rFonts w:ascii="DejaVu Sans Mono" w:hAnsi="DejaVu Sans Mono"/>
          <w:b w:val="0"/>
          <w:i w:val="0"/>
          <w:sz w:val="17"/>
        </w:rPr>
        <w:t>_ahead_offers</w:t>
      </w:r>
      <w:r>
        <w:rPr>
          <w:b w:val="0"/>
          <w:i w:val="0"/>
        </w:rPr>
        <w:t xml:space="preserve"> gives each resource </w:t>
      </w:r>
      <w:r>
        <w:rPr>
          <w:rFonts w:ascii="DejaVu Sans Mono" w:hAnsi="DejaVu Sans Mono"/>
          <w:b w:val="0"/>
          <w:i w:val="0"/>
          <w:sz w:val="17"/>
        </w:rPr>
        <w:t>capacity_mw * availability * period_hours</w:t>
      </w:r>
      <w:r>
        <w:rPr>
          <w:b w:val="0"/>
          <w:i w:val="0"/>
        </w:rPr>
        <w:t xml:space="preserve"> MWh at its period marginal cost multiplied by </w:t>
      </w:r>
      <w:r>
        <w:rPr>
          <w:rFonts w:ascii="DejaVu Sans Mono" w:hAnsi="DejaVu Sans Mono"/>
          <w:b w:val="0"/>
          <w:i w:val="0"/>
          <w:sz w:val="17"/>
        </w:rPr>
        <w:t>market.bid_multiplier</w:t>
      </w:r>
      <w:r>
        <w:rPr>
          <w:b w:val="0"/>
          <w:i w:val="0"/>
        </w:rPr>
        <w:t xml:space="preserve">, default 1. Storage offers the smaller of its discharge-power limit over the period and </w:t>
      </w:r>
      <w:r>
        <w:rPr>
          <w:rFonts w:ascii="DejaVu Sans Mono" w:hAnsi="DejaVu Sans Mono"/>
          <w:b w:val="0"/>
          <w:i w:val="0"/>
          <w:sz w:val="17"/>
        </w:rPr>
        <w:t>soc * discharge_efficiency</w:t>
      </w:r>
      <w:r>
        <w:rPr>
          <w:b w:val="0"/>
          <w:i w:val="0"/>
        </w:rPr>
        <w:t xml:space="preserve">, at </w:t>
      </w:r>
      <w:r>
        <w:rPr>
          <w:rFonts w:ascii="DejaVu Sans Mono" w:hAnsi="DejaVu Sans Mono"/>
          <w:b w:val="0"/>
          <w:i w:val="0"/>
          <w:sz w:val="17"/>
        </w:rPr>
        <w:t>bid_​price_​gbp_​per_​mwh(0.0)</w:t>
      </w:r>
      <w:r>
        <w:rPr>
          <w:b w:val="0"/>
          <w:i w:val="0"/>
        </w:rPr>
        <w:t xml:space="preserve"> multiplied by the same factor. </w:t>
      </w:r>
      <w:r>
        <w:rPr>
          <w:rFonts w:ascii="DejaVu Sans Mono" w:hAnsi="DejaVu Sans Mono"/>
          <w:b w:val="0"/>
          <w:i w:val="0"/>
          <w:sz w:val="17"/>
        </w:rPr>
        <w:t>clear_ahead</w:t>
      </w:r>
      <w:r>
        <w:rPr>
          <w:b w:val="0"/>
          <w:i w:val="0"/>
        </w:rPr>
        <w:t xml:space="preserve"> orders by </w:t>
      </w:r>
      <w:r>
        <w:rPr>
          <w:rFonts w:ascii="DejaVu Sans Mono" w:hAnsi="DejaVu Sans Mono"/>
          <w:b w:val="0"/>
          <w:i w:val="0"/>
          <w:sz w:val="17"/>
        </w:rPr>
        <w:t>price_gbp_per_mwh</w:t>
      </w:r>
      <w:r>
        <w:rPr>
          <w:b w:val="0"/>
          <w:i w:val="0"/>
        </w:rPr>
        <w:t xml:space="preserve"> and then </w:t>
      </w:r>
      <w:r>
        <w:rPr>
          <w:rFonts w:ascii="DejaVu Sans Mono" w:hAnsi="DejaVu Sans Mono"/>
          <w:b w:val="0"/>
          <w:i w:val="0"/>
          <w:sz w:val="17"/>
        </w:rPr>
        <w:t>offer_id</w:t>
      </w:r>
      <w:r>
        <w:rPr>
          <w:b w:val="0"/>
          <w:i w:val="0"/>
        </w:rPr>
        <w:t xml:space="preserve">, accepts the smaller of available and remaining forecast MWh, and stops when the remaining requirement is at most </w:t>
      </w:r>
      <w:r>
        <w:rPr>
          <w:rFonts w:ascii="DejaVu Sans Mono" w:hAnsi="DejaVu Sans Mono"/>
          <w:b w:val="0"/>
          <w:i w:val="0"/>
          <w:sz w:val="17"/>
        </w:rPr>
        <w:t>1e-12</w:t>
      </w:r>
      <w:r>
        <w:rPr>
          <w:b w:val="0"/>
          <w:i w:val="0"/>
        </w:rPr>
        <w:t xml:space="preserve"> MWh or all offers are exhausted. The last accepted price settles the ahead schedule.</w:t>
      </w:r>
    </w:p>
    <w:p>
      <w:r>
        <w:rPr>
          <w:b w:val="0"/>
          <w:i w:val="0"/>
        </w:rPr>
        <w:t xml:space="preserve">Resource adjustment volumes are measured relative to </w:t>
      </w:r>
      <w:r>
        <w:rPr>
          <w:rFonts w:ascii="DejaVu Sans Mono" w:hAnsi="DejaVu Sans Mono"/>
          <w:b w:val="0"/>
          <w:i w:val="0"/>
          <w:sz w:val="17"/>
        </w:rPr>
        <w:t>schedule_mwh_by_asset</w:t>
      </w:r>
      <w:r>
        <w:rPr>
          <w:b w:val="0"/>
          <w:i w:val="0"/>
        </w:rPr>
        <w:t xml:space="preserve">. </w:t>
      </w:r>
      <w:r>
        <w:rPr>
          <w:rFonts w:ascii="DejaVu Sans Mono" w:hAnsi="DejaVu Sans Mono"/>
          <w:b w:val="0"/>
          <w:i w:val="0"/>
          <w:sz w:val="17"/>
        </w:rPr>
        <w:t>_flexibility_bids</w:t>
      </w:r>
      <w:r>
        <w:rPr>
          <w:b w:val="0"/>
          <w:i w:val="0"/>
        </w:rPr>
        <w:t xml:space="preserve"> offers upward MWh equal to the positive part of available MWh less scheduled MWh and downward MWh up to the scheduled quantity. Upward prices use marginal cost times </w:t>
      </w:r>
      <w:r>
        <w:rPr>
          <w:rFonts w:ascii="DejaVu Sans Mono" w:hAnsi="DejaVu Sans Mono"/>
          <w:b w:val="0"/>
          <w:i w:val="0"/>
          <w:sz w:val="17"/>
        </w:rPr>
        <w:t>market.bid_multiplier</w:t>
      </w:r>
      <w:r>
        <w:rPr>
          <w:b w:val="0"/>
          <w:i w:val="0"/>
        </w:rPr>
        <w:t xml:space="preserve">. The </w:t>
      </w:r>
      <w:r>
        <w:rPr>
          <w:rFonts w:ascii="DejaVu Sans Mono" w:hAnsi="DejaVu Sans Mono"/>
          <w:b w:val="0"/>
          <w:i w:val="0"/>
          <w:sz w:val="17"/>
        </w:rPr>
        <w:t>network-economic-v2</w:t>
      </w:r>
      <w:r>
        <w:rPr>
          <w:b w:val="0"/>
          <w:i w:val="0"/>
        </w:rPr>
        <w:t xml:space="preserve"> downward rules use </w:t>
      </w:r>
      <w:r>
        <w:rPr>
          <w:rFonts w:ascii="DejaVu Sans Mono" w:hAnsi="DejaVu Sans Mono"/>
          <w:b w:val="0"/>
          <w:i w:val="0"/>
          <w:sz w:val="17"/>
        </w:rPr>
        <w:t>market.dec_multiplier</w:t>
      </w:r>
      <w:r>
        <w:rPr>
          <w:b w:val="0"/>
          <w:i w:val="0"/>
        </w:rPr>
        <w:t>, default 1, and the per-technology support and nuclear-premium inputs: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93"/>
        <w:gridCol w:w="5399"/>
      </w:tblGrid>
      <w:tr>
        <w:trPr>
          <w:cantSplit/>
          <w:tblHeader w:val="true"/>
        </w:trPr>
        <w:tc>
          <w:tcPr>
            <w:tcW w:type="dxa" w:w="4393"/>
            <w:vAlign w:val="center"/>
            <w:tcMar>
              <w:top w:w="90" w:type="dxa"/>
              <w:left w:w="90" w:type="dxa"/>
              <w:bottom w:w="90" w:type="dxa"/>
              <w:right w:w="90" w:type="dxa"/>
            </w:tcMar>
            <w:shd w:fill="EEEEEE"/>
          </w:tcPr>
          <w:p>
            <w:pPr>
              <w:spacing w:after="40" w:line="276" w:lineRule="auto"/>
            </w:pPr>
            <w:r>
              <w:rPr>
                <w:b/>
                <w:i w:val="0"/>
                <w:sz w:val="18"/>
              </w:rPr>
              <w:t>Resource</w:t>
            </w:r>
          </w:p>
        </w:tc>
        <w:tc>
          <w:tcPr>
            <w:tcW w:type="dxa" w:w="5399"/>
            <w:vAlign w:val="center"/>
            <w:tcMar>
              <w:top w:w="90" w:type="dxa"/>
              <w:left w:w="90" w:type="dxa"/>
              <w:bottom w:w="90" w:type="dxa"/>
              <w:right w:w="90" w:type="dxa"/>
            </w:tcMar>
            <w:shd w:fill="EEEEEE"/>
          </w:tcPr>
          <w:p>
            <w:pPr>
              <w:spacing w:after="40" w:line="276" w:lineRule="auto"/>
            </w:pPr>
            <w:r>
              <w:rPr>
                <w:b/>
                <w:i w:val="0"/>
                <w:sz w:val="18"/>
              </w:rPr>
              <w:t>Downward price, GBP/MWh</w:t>
            </w:r>
          </w:p>
        </w:tc>
      </w:tr>
      <w:tr>
        <w:trPr>
          <w:cantSplit/>
        </w:trPr>
        <w:tc>
          <w:tcPr>
            <w:tcW w:type="dxa" w:w="4393"/>
            <w:vAlign w:val="center"/>
            <w:tcMar>
              <w:top w:w="90" w:type="dxa"/>
              <w:left w:w="90" w:type="dxa"/>
              <w:bottom w:w="90" w:type="dxa"/>
              <w:right w:w="90" w:type="dxa"/>
            </w:tcMar>
          </w:tcPr>
          <w:p>
            <w:pPr>
              <w:spacing w:after="40" w:line="276" w:lineRule="auto"/>
            </w:pPr>
            <w:r>
              <w:rPr>
                <w:b w:val="0"/>
                <w:i w:val="0"/>
                <w:sz w:val="18"/>
              </w:rPr>
              <w:t>Fuel generation</w:t>
            </w:r>
          </w:p>
        </w:tc>
        <w:tc>
          <w:tcPr>
            <w:tcW w:type="dxa" w:w="5399"/>
            <w:vAlign w:val="center"/>
            <w:tcMar>
              <w:top w:w="90" w:type="dxa"/>
              <w:left w:w="90" w:type="dxa"/>
              <w:bottom w:w="90" w:type="dxa"/>
              <w:right w:w="90" w:type="dxa"/>
            </w:tcMar>
          </w:tcPr>
          <w:p>
            <w:pPr>
              <w:spacing w:after="40" w:line="276" w:lineRule="auto"/>
            </w:pPr>
            <w:r>
              <w:rPr>
                <w:b w:val="0"/>
                <w:i w:val="0"/>
                <w:sz w:val="18"/>
              </w:rPr>
              <w:t>Marginal cost × downward multiplier − policy support</w:t>
            </w:r>
          </w:p>
        </w:tc>
      </w:tr>
      <w:tr>
        <w:trPr>
          <w:cantSplit/>
        </w:trPr>
        <w:tc>
          <w:tcPr>
            <w:tcW w:type="dxa" w:w="4393"/>
            <w:vAlign w:val="center"/>
            <w:tcMar>
              <w:top w:w="90" w:type="dxa"/>
              <w:left w:w="90" w:type="dxa"/>
              <w:bottom w:w="90" w:type="dxa"/>
              <w:right w:w="90" w:type="dxa"/>
            </w:tcMar>
          </w:tcPr>
          <w:p>
            <w:pPr>
              <w:spacing w:after="40" w:line="276" w:lineRule="auto"/>
            </w:pPr>
            <w:r>
              <w:rPr>
                <w:b w:val="0"/>
                <w:i w:val="0"/>
                <w:sz w:val="18"/>
              </w:rPr>
              <w:t>Imports</w:t>
            </w:r>
          </w:p>
        </w:tc>
        <w:tc>
          <w:tcPr>
            <w:tcW w:type="dxa" w:w="5399"/>
            <w:vAlign w:val="center"/>
            <w:tcMar>
              <w:top w:w="90" w:type="dxa"/>
              <w:left w:w="90" w:type="dxa"/>
              <w:bottom w:w="90" w:type="dxa"/>
              <w:right w:w="90" w:type="dxa"/>
            </w:tcMar>
          </w:tcPr>
          <w:p>
            <w:pPr>
              <w:spacing w:after="40" w:line="276" w:lineRule="auto"/>
            </w:pPr>
            <w:r>
              <w:rPr>
                <w:b w:val="0"/>
                <w:i w:val="0"/>
                <w:sz w:val="18"/>
              </w:rPr>
              <w:t>Period import price × downward multiplier</w:t>
            </w:r>
          </w:p>
        </w:tc>
      </w:tr>
      <w:tr>
        <w:trPr>
          <w:cantSplit/>
        </w:trPr>
        <w:tc>
          <w:tcPr>
            <w:tcW w:type="dxa" w:w="4393"/>
            <w:vAlign w:val="center"/>
            <w:tcMar>
              <w:top w:w="90" w:type="dxa"/>
              <w:left w:w="90" w:type="dxa"/>
              <w:bottom w:w="90" w:type="dxa"/>
              <w:right w:w="90" w:type="dxa"/>
            </w:tcMar>
          </w:tcPr>
          <w:p>
            <w:pPr>
              <w:spacing w:after="40" w:line="276" w:lineRule="auto"/>
            </w:pPr>
            <w:r>
              <w:rPr>
                <w:b w:val="0"/>
                <w:i w:val="0"/>
                <w:sz w:val="18"/>
              </w:rPr>
              <w:t>Wind, solar and run-of-river hydro</w:t>
            </w:r>
          </w:p>
        </w:tc>
        <w:tc>
          <w:tcPr>
            <w:tcW w:type="dxa" w:w="5399"/>
            <w:vAlign w:val="center"/>
            <w:tcMar>
              <w:top w:w="90" w:type="dxa"/>
              <w:left w:w="90" w:type="dxa"/>
              <w:bottom w:w="90" w:type="dxa"/>
              <w:right w:w="90" w:type="dxa"/>
            </w:tcMar>
          </w:tcPr>
          <w:p>
            <w:pPr>
              <w:spacing w:after="40" w:line="276" w:lineRule="auto"/>
            </w:pPr>
            <w:r>
              <w:rPr>
                <w:b w:val="0"/>
                <w:i w:val="0"/>
                <w:sz w:val="18"/>
              </w:rPr>
              <w:t>− policy support</w:t>
            </w:r>
          </w:p>
        </w:tc>
      </w:tr>
      <w:tr>
        <w:trPr>
          <w:cantSplit/>
        </w:trPr>
        <w:tc>
          <w:tcPr>
            <w:tcW w:type="dxa" w:w="4393"/>
            <w:vAlign w:val="center"/>
            <w:tcMar>
              <w:top w:w="90" w:type="dxa"/>
              <w:left w:w="90" w:type="dxa"/>
              <w:bottom w:w="90" w:type="dxa"/>
              <w:right w:w="90" w:type="dxa"/>
            </w:tcMar>
          </w:tcPr>
          <w:p>
            <w:pPr>
              <w:spacing w:after="40" w:line="276" w:lineRule="auto"/>
            </w:pPr>
            <w:r>
              <w:rPr>
                <w:b w:val="0"/>
                <w:i w:val="0"/>
                <w:sz w:val="18"/>
              </w:rPr>
              <w:t>Nuclear</w:t>
            </w:r>
          </w:p>
        </w:tc>
        <w:tc>
          <w:tcPr>
            <w:tcW w:type="dxa" w:w="5399"/>
            <w:vAlign w:val="center"/>
            <w:tcMar>
              <w:top w:w="90" w:type="dxa"/>
              <w:left w:w="90" w:type="dxa"/>
              <w:bottom w:w="90" w:type="dxa"/>
              <w:right w:w="90" w:type="dxa"/>
            </w:tcMar>
          </w:tcPr>
          <w:p>
            <w:pPr>
              <w:spacing w:after="40" w:line="276" w:lineRule="auto"/>
            </w:pPr>
            <w:r>
              <w:rPr>
                <w:b w:val="0"/>
                <w:i w:val="0"/>
                <w:sz w:val="18"/>
              </w:rPr>
              <w:t>Marginal cost × downward multiplier − policy support − inflexibility premium</w:t>
            </w:r>
          </w:p>
        </w:tc>
      </w:tr>
    </w:tbl>
    <w:p>
      <w:pPr>
        <w:spacing w:after="20"/>
      </w:pPr>
    </w:p>
    <w:p>
      <w:r>
        <w:rPr>
          <w:rFonts w:ascii="DejaVu Sans Mono" w:hAnsi="DejaVu Sans Mono"/>
          <w:b w:val="0"/>
          <w:i w:val="0"/>
          <w:sz w:val="17"/>
        </w:rPr>
        <w:t>resource_dec_price</w:t>
      </w:r>
      <w:r>
        <w:rPr>
          <w:b w:val="0"/>
          <w:i w:val="0"/>
        </w:rPr>
        <w:t xml:space="preserve"> reads policy support from </w:t>
      </w:r>
      <w:r>
        <w:rPr>
          <w:rFonts w:ascii="DejaVu Sans Mono" w:hAnsi="DejaVu Sans Mono"/>
          <w:b w:val="0"/>
          <w:i w:val="0"/>
          <w:sz w:val="17"/>
        </w:rPr>
        <w:t>market.policy_​support_​gbp_​per_​mwh_​by_​technology</w:t>
      </w:r>
      <w:r>
        <w:rPr>
          <w:b w:val="0"/>
          <w:i w:val="0"/>
        </w:rPr>
        <w:t xml:space="preserve">, default zero, and the premium from </w:t>
      </w:r>
      <w:r>
        <w:rPr>
          <w:rFonts w:ascii="DejaVu Sans Mono" w:hAnsi="DejaVu Sans Mono"/>
          <w:b w:val="0"/>
          <w:i w:val="0"/>
          <w:sz w:val="17"/>
        </w:rPr>
        <w:t>network.inflexible_​dec_​premium_​gbp_​per_​mwh_​by_​technology</w:t>
      </w:r>
      <w:r>
        <w:rPr>
          <w:b w:val="0"/>
          <w:i w:val="0"/>
        </w:rPr>
        <w:t xml:space="preserve">, default 100 GBP/MWh for nuclear. Gas and biomass split scheduled MWh into </w:t>
      </w:r>
      <w:r>
        <w:rPr>
          <w:rFonts w:ascii="DejaVu Sans Mono" w:hAnsi="DejaVu Sans Mono"/>
          <w:b w:val="0"/>
          <w:i w:val="0"/>
          <w:sz w:val="17"/>
        </w:rPr>
        <w:t>running_mwh</w:t>
      </w:r>
      <w:r>
        <w:rPr>
          <w:b w:val="0"/>
          <w:i w:val="0"/>
        </w:rPr>
        <w:t xml:space="preserve"> and </w:t>
      </w:r>
      <w:r>
        <w:rPr>
          <w:rFonts w:ascii="DejaVu Sans Mono" w:hAnsi="DejaVu Sans Mono"/>
          <w:b w:val="0"/>
          <w:i w:val="0"/>
          <w:sz w:val="17"/>
        </w:rPr>
        <w:t>shutdown_mwh</w:t>
      </w:r>
      <w:r>
        <w:rPr>
          <w:b w:val="0"/>
          <w:i w:val="0"/>
        </w:rPr>
        <w:t xml:space="preserve">: the latter equals scheduled MWh times </w:t>
      </w:r>
      <w:r>
        <w:rPr>
          <w:rFonts w:ascii="DejaVu Sans Mono" w:hAnsi="DejaVu Sans Mono"/>
          <w:b w:val="0"/>
          <w:i w:val="0"/>
          <w:sz w:val="17"/>
        </w:rPr>
        <w:t>min_stable_fraction</w:t>
      </w:r>
      <w:r>
        <w:rPr>
          <w:b w:val="0"/>
          <w:i w:val="0"/>
        </w:rPr>
        <w:t xml:space="preserve">. </w:t>
      </w:r>
      <w:r>
        <w:rPr>
          <w:rFonts w:ascii="DejaVu Sans Mono" w:hAnsi="DejaVu Sans Mono"/>
          <w:b w:val="0"/>
          <w:i w:val="0"/>
          <w:sz w:val="17"/>
        </w:rPr>
        <w:t>thermal_dec_segments</w:t>
      </w:r>
      <w:r>
        <w:rPr>
          <w:b w:val="0"/>
          <w:i w:val="0"/>
        </w:rPr>
        <w:t xml:space="preserve"> retains the running price and gives the shutdown segment the </w:t>
      </w:r>
      <w:r>
        <w:rPr>
          <w:rFonts w:ascii="DejaVu Sans Mono" w:hAnsi="DejaVu Sans Mono"/>
          <w:b w:val="0"/>
          <w:i w:val="0"/>
          <w:sz w:val="17"/>
        </w:rPr>
        <w:t>net_saving</w:t>
      </w:r>
      <w:r>
        <w:rPr>
          <w:b w:val="0"/>
          <w:i w:val="0"/>
        </w:rPr>
        <w:t xml:space="preserve"> calculation and restart table in Chapter 5. The downtime forecast includes the current period and consecutive subsequent periods whose forecast demand is covered by declared wind, solar and nuclear availability, each lasting </w:t>
      </w:r>
      <w:r>
        <w:rPr>
          <w:rFonts w:ascii="DejaVu Sans Mono" w:hAnsi="DejaVu Sans Mono"/>
          <w:b w:val="0"/>
          <w:i w:val="0"/>
          <w:sz w:val="17"/>
        </w:rPr>
        <w:t>period_hours</w:t>
      </w:r>
      <w:r>
        <w:rPr>
          <w:b w:val="0"/>
          <w:i w:val="0"/>
        </w:rPr>
        <w:t xml:space="preserve">. A shutdown shorter than </w:t>
      </w:r>
      <w:r>
        <w:rPr>
          <w:rFonts w:ascii="DejaVu Sans Mono" w:hAnsi="DejaVu Sans Mono"/>
          <w:b w:val="0"/>
          <w:i w:val="0"/>
          <w:sz w:val="17"/>
        </w:rPr>
        <w:t>min_down_time_h</w:t>
      </w:r>
      <w:r>
        <w:rPr>
          <w:b w:val="0"/>
          <w:i w:val="0"/>
        </w:rPr>
        <w:t xml:space="preserve"> receives the smaller of its net saving and a price 0.01 GBP/MWh below every other downward price band.</w:t>
      </w:r>
    </w:p>
    <w:p>
      <w:r>
        <w:rPr>
          <w:b w:val="0"/>
          <w:i w:val="0"/>
        </w:rPr>
        <w:t xml:space="preserve">Storage adjustment bids cover the change from scheduled discharge to final discharge or charging. </w:t>
      </w:r>
      <w:r>
        <w:rPr>
          <w:rFonts w:ascii="DejaVu Sans Mono" w:hAnsi="DejaVu Sans Mono"/>
          <w:b w:val="0"/>
          <w:i w:val="0"/>
          <w:sz w:val="17"/>
        </w:rPr>
        <w:t>maximum_discharge</w:t>
      </w:r>
      <w:r>
        <w:rPr>
          <w:b w:val="0"/>
          <w:i w:val="0"/>
        </w:rPr>
        <w:t xml:space="preserve"> is the smaller of </w:t>
      </w:r>
      <w:r>
        <w:rPr>
          <w:rFonts w:ascii="DejaVu Sans Mono" w:hAnsi="DejaVu Sans Mono"/>
          <w:b w:val="0"/>
          <w:i w:val="0"/>
          <w:sz w:val="17"/>
        </w:rPr>
        <w:t>discharge_power_mw * period_hours</w:t>
      </w:r>
      <w:r>
        <w:rPr>
          <w:b w:val="0"/>
          <w:i w:val="0"/>
        </w:rPr>
        <w:t xml:space="preserve"> and </w:t>
      </w:r>
      <w:r>
        <w:rPr>
          <w:rFonts w:ascii="DejaVu Sans Mono" w:hAnsi="DejaVu Sans Mono"/>
          <w:b w:val="0"/>
          <w:i w:val="0"/>
          <w:sz w:val="17"/>
        </w:rPr>
        <w:t>soc * discharge_efficiency</w:t>
      </w:r>
      <w:r>
        <w:rPr>
          <w:b w:val="0"/>
          <w:i w:val="0"/>
        </w:rPr>
        <w:t xml:space="preserve">; upward volume is </w:t>
      </w:r>
      <w:r>
        <w:rPr>
          <w:rFonts w:ascii="DejaVu Sans Mono" w:hAnsi="DejaVu Sans Mono"/>
          <w:b w:val="0"/>
          <w:i w:val="0"/>
          <w:sz w:val="17"/>
        </w:rPr>
        <w:t>max(maximum_discharge - scheduled, 0)</w:t>
      </w:r>
      <w:r>
        <w:rPr>
          <w:b w:val="0"/>
          <w:i w:val="0"/>
        </w:rPr>
        <w:t xml:space="preserve">. Downward volume is scheduled MWh plus the smaller of charging power over the period and remaining internal capacity divided by charging efficiency. </w:t>
      </w:r>
      <w:r>
        <w:rPr>
          <w:rFonts w:ascii="DejaVu Sans Mono" w:hAnsi="DejaVu Sans Mono"/>
          <w:b w:val="0"/>
          <w:i w:val="0"/>
          <w:sz w:val="17"/>
        </w:rPr>
        <w:t>storage_dec_price</w:t>
      </w:r>
      <w:r>
        <w:rPr>
          <w:b w:val="0"/>
          <w:i w:val="0"/>
        </w:rPr>
        <w:t xml:space="preserve"> takes the minimum of the storage upward price, that price times round-trip efficiency, and the lowest available upward price in the period when such a bid exists. A declared export envelope adds a downward withdrawal bid at the nonnegative part of its export price.</w:t>
      </w:r>
    </w:p>
    <w:p>
      <w:r>
        <w:rPr>
          <w:b w:val="0"/>
          <w:i w:val="0"/>
        </w:rPr>
        <w:t xml:space="preserve">Storage starts at </w:t>
      </w:r>
      <w:r>
        <w:rPr>
          <w:rFonts w:ascii="DejaVu Sans Mono" w:hAnsi="DejaVu Sans Mono"/>
          <w:b w:val="0"/>
          <w:i w:val="0"/>
          <w:sz w:val="17"/>
        </w:rPr>
        <w:t>initial_soc_mwh</w:t>
      </w:r>
      <w:r>
        <w:rPr>
          <w:b w:val="0"/>
          <w:i w:val="0"/>
        </w:rPr>
        <w:t>; each solved final inventory becomes the next period's opening inventory. Generation follows the period availability and accepted adjustment bounds below. The algorithm processes the supplied chronology once in time order, returning final injections, charge, discharge, inventory, corridor flows, unmet demand and settlement for every period.</w:t>
      </w:r>
    </w:p>
    <w:p>
      <w:pPr>
        <w:pStyle w:val="Heading2"/>
      </w:pPr>
      <w:r>
        <w:rPr>
          <w:b w:val="0"/>
          <w:i w:val="0"/>
        </w:rPr>
        <w:t>Adjustment objectives and operating constraints</w:t>
      </w:r>
    </w:p>
    <w:p>
      <w:r>
        <w:rPr>
          <w:b w:val="0"/>
          <w:i w:val="0"/>
        </w:rPr>
        <w:t xml:space="preserve">Redispatch solves four linear objectives in sequence: bid expenditure including shortage cost, adjustment volume, weighted physical throughput and stable variable order. </w:t>
      </w:r>
      <w:r>
        <w:rPr>
          <w:rFonts w:ascii="DejaVu Sans Mono" w:hAnsi="DejaVu Sans Mono"/>
          <w:b w:val="0"/>
          <w:i w:val="0"/>
          <w:sz w:val="17"/>
        </w:rPr>
        <w:t>SinglePeriodProblem</w:t>
      </w:r>
      <w:r>
        <w:rPr>
          <w:b w:val="0"/>
          <w:i w:val="0"/>
        </w:rPr>
        <w:t xml:space="preserve"> stores their coefficient arrays as </w:t>
      </w:r>
      <w:r>
        <w:rPr>
          <w:rFonts w:ascii="DejaVu Sans Mono" w:hAnsi="DejaVu Sans Mono"/>
          <w:b w:val="0"/>
          <w:i w:val="0"/>
          <w:sz w:val="17"/>
        </w:rPr>
        <w:t>primary_objective</w:t>
      </w:r>
      <w:r>
        <w:rPr>
          <w:b w:val="0"/>
          <w:i w:val="0"/>
        </w:rPr>
        <w:t xml:space="preserve">, </w:t>
      </w:r>
      <w:r>
        <w:rPr>
          <w:rFonts w:ascii="DejaVu Sans Mono" w:hAnsi="DejaVu Sans Mono"/>
          <w:b w:val="0"/>
          <w:i w:val="0"/>
          <w:sz w:val="17"/>
        </w:rPr>
        <w:t>secondary_objective</w:t>
      </w:r>
      <w:r>
        <w:rPr>
          <w:b w:val="0"/>
          <w:i w:val="0"/>
        </w:rPr>
        <w:t xml:space="preserve">, </w:t>
      </w:r>
      <w:r>
        <w:rPr>
          <w:rFonts w:ascii="DejaVu Sans Mono" w:hAnsi="DejaVu Sans Mono"/>
          <w:b w:val="0"/>
          <w:i w:val="0"/>
          <w:sz w:val="17"/>
        </w:rPr>
        <w:t>physical_tie_objective</w:t>
      </w:r>
      <w:r>
        <w:rPr>
          <w:b w:val="0"/>
          <w:i w:val="0"/>
        </w:rPr>
        <w:t xml:space="preserve"> and </w:t>
      </w:r>
      <w:r>
        <w:rPr>
          <w:rFonts w:ascii="DejaVu Sans Mono" w:hAnsi="DejaVu Sans Mono"/>
          <w:b w:val="0"/>
          <w:i w:val="0"/>
          <w:sz w:val="17"/>
        </w:rPr>
        <w:t>stable_tie_objective</w:t>
      </w:r>
      <w:r>
        <w:rPr>
          <w:b w:val="0"/>
          <w:i w:val="0"/>
        </w:rPr>
        <w:t xml:space="preserve">. Each objective is its array's dot product with </w:t>
      </w:r>
      <w:r>
        <w:rPr>
          <w:rFonts w:ascii="DejaVu Sans Mono" w:hAnsi="DejaVu Sans Mono"/>
          <w:b w:val="0"/>
          <w:i w:val="0"/>
          <w:sz w:val="17"/>
        </w:rPr>
        <w:t>values</w:t>
      </w:r>
      <w:r>
        <w:rPr>
          <w:b w:val="0"/>
          <w:i w:val="0"/>
        </w:rPr>
        <w:t xml:space="preserve">, the period decision vector returned by </w:t>
      </w:r>
      <w:r>
        <w:rPr>
          <w:rFonts w:ascii="DejaVu Sans Mono" w:hAnsi="DejaVu Sans Mono"/>
          <w:b w:val="0"/>
          <w:i w:val="0"/>
          <w:sz w:val="17"/>
        </w:rPr>
        <w:t>solve_lexicographic</w:t>
      </w:r>
      <w:r>
        <w:rPr>
          <w:b w:val="0"/>
          <w:i w:val="0"/>
        </w:rPr>
        <w:t>.</w:t>
      </w:r>
    </w:p>
    <w:p>
      <w:r>
        <w:rPr>
          <w:b w:val="0"/>
          <w:i w:val="0"/>
        </w:rPr>
        <w:t xml:space="preserve">The decision vector uses the implementation's variable labels. </w:t>
      </w:r>
      <w:r>
        <w:rPr>
          <w:rFonts w:ascii="DejaVu Sans Mono" w:hAnsi="DejaVu Sans Mono"/>
          <w:b w:val="0"/>
          <w:i w:val="0"/>
          <w:sz w:val="17"/>
        </w:rPr>
        <w:t>bid:&lt;bid_id&gt;</w:t>
      </w:r>
      <w:r>
        <w:rPr>
          <w:b w:val="0"/>
          <w:i w:val="0"/>
        </w:rPr>
        <w:t xml:space="preserve"> is accepted nonnegative bid MWh; </w:t>
      </w:r>
      <w:r>
        <w:rPr>
          <w:rFonts w:ascii="DejaVu Sans Mono" w:hAnsi="DejaVu Sans Mono"/>
          <w:b w:val="0"/>
          <w:i w:val="0"/>
          <w:sz w:val="17"/>
        </w:rPr>
        <w:t>flow:&lt;corridor_id&gt;</w:t>
      </w:r>
      <w:r>
        <w:rPr>
          <w:b w:val="0"/>
          <w:i w:val="0"/>
        </w:rPr>
        <w:t xml:space="preserve"> is signed corridor MWh; </w:t>
      </w:r>
      <w:r>
        <w:rPr>
          <w:rFonts w:ascii="DejaVu Sans Mono" w:hAnsi="DejaVu Sans Mono"/>
          <w:b w:val="0"/>
          <w:i w:val="0"/>
          <w:sz w:val="17"/>
        </w:rPr>
        <w:t>load-shedding:&lt;zone_id&gt;</w:t>
      </w:r>
      <w:r>
        <w:rPr>
          <w:b w:val="0"/>
          <w:i w:val="0"/>
        </w:rPr>
        <w:t xml:space="preserve"> is unmet demand; </w:t>
      </w:r>
      <w:r>
        <w:rPr>
          <w:rFonts w:ascii="DejaVu Sans Mono" w:hAnsi="DejaVu Sans Mono"/>
          <w:b w:val="0"/>
          <w:i w:val="0"/>
          <w:sz w:val="17"/>
        </w:rPr>
        <w:t>storage-charge:&lt;asset_​id&gt;</w:t>
      </w:r>
      <w:r>
        <w:rPr>
          <w:b w:val="0"/>
          <w:i w:val="0"/>
        </w:rPr>
        <w:t xml:space="preserve"> and </w:t>
      </w:r>
      <w:r>
        <w:rPr>
          <w:rFonts w:ascii="DejaVu Sans Mono" w:hAnsi="DejaVu Sans Mono"/>
          <w:b w:val="0"/>
          <w:i w:val="0"/>
          <w:sz w:val="17"/>
        </w:rPr>
        <w:t>storage-discharge:&lt;asset_​id&gt;</w:t>
      </w:r>
      <w:r>
        <w:rPr>
          <w:b w:val="0"/>
          <w:i w:val="0"/>
        </w:rPr>
        <w:t xml:space="preserve"> are grid-side storage MWh; </w:t>
      </w:r>
      <w:r>
        <w:rPr>
          <w:rFonts w:ascii="DejaVu Sans Mono" w:hAnsi="DejaVu Sans Mono"/>
          <w:b w:val="0"/>
          <w:i w:val="0"/>
          <w:sz w:val="17"/>
        </w:rPr>
        <w:t>absolute-flow:&lt;corridor_​id&gt;</w:t>
      </w:r>
      <w:r>
        <w:rPr>
          <w:b w:val="0"/>
          <w:i w:val="0"/>
        </w:rPr>
        <w:t xml:space="preserve"> bounds the absolute corridor flow. In the equations, array subscripts carry these existing identifiers.</w:t>
      </w:r>
    </w:p>
    <w:p>
      <w:pPr>
        <w:keepNext/>
      </w:pPr>
      <w:r>
        <w:rPr>
          <w:b w:val="0"/>
          <w:i w:val="0"/>
        </w:rPr>
        <w:t xml:space="preserve">The primary objective uses the sign of each bid direction. An upward bid contributes its </w:t>
      </w:r>
      <w:r>
        <w:rPr>
          <w:rFonts w:ascii="DejaVu Sans Mono" w:hAnsi="DejaVu Sans Mono"/>
          <w:b w:val="0"/>
          <w:i w:val="0"/>
          <w:sz w:val="17"/>
        </w:rPr>
        <w:t>price_gbp_per_mwh</w:t>
      </w:r>
      <w:r>
        <w:rPr>
          <w:b w:val="0"/>
          <w:i w:val="0"/>
        </w:rPr>
        <w:t xml:space="preserve"> times accepted MWh; a downward bid contributes the negative of that payment. Shortage is valued at </w:t>
      </w:r>
      <w:r>
        <w:rPr>
          <w:rFonts w:ascii="DejaVu Sans Mono" w:hAnsi="DejaVu Sans Mono"/>
          <w:b w:val="0"/>
          <w:i w:val="0"/>
          <w:sz w:val="17"/>
        </w:rPr>
        <w:t>voll_gbp_per_mwh</w:t>
      </w:r>
      <w:r>
        <w:rPr>
          <w:b w:val="0"/>
          <w:i w:val="0"/>
        </w:rPr>
        <w:t>, default 17,000 GBP/MWh:</w:t>
      </w:r>
    </w:p>
    <w:p>
      <w:pPr>
        <w:spacing w:after="160"/>
        <w:jc w:val="center"/>
      </w:pPr>
      <w:r>
        <w:drawing>
          <wp:inline xmlns:a="http://schemas.openxmlformats.org/drawingml/2006/main" xmlns:pic="http://schemas.openxmlformats.org/drawingml/2006/picture">
            <wp:extent cx="5911519" cy="1243568"/>
            <wp:docPr id="114" name="Picture 114"/>
            <wp:cNvGraphicFramePr>
              <a:graphicFrameLocks noChangeAspect="1"/>
            </wp:cNvGraphicFramePr>
            <a:graphic>
              <a:graphicData uri="http://schemas.openxmlformats.org/drawingml/2006/picture">
                <pic:pic>
                  <pic:nvPicPr>
                    <pic:cNvPr id="0" name="eq-114.png"/>
                    <pic:cNvPicPr/>
                  </pic:nvPicPr>
                  <pic:blipFill>
                    <a:blip r:embed="rId117"/>
                    <a:stretch>
                      <a:fillRect/>
                    </a:stretch>
                  </pic:blipFill>
                  <pic:spPr>
                    <a:xfrm>
                      <a:off x="0" y="0"/>
                      <a:ext cx="5911519" cy="1243568"/>
                    </a:xfrm>
                    <a:prstGeom prst="rect"/>
                  </pic:spPr>
                </pic:pic>
              </a:graphicData>
            </a:graphic>
          </wp:inline>
        </w:drawing>
      </w:r>
    </w:p>
    <w:p>
      <w:r>
        <w:rPr>
          <w:b w:val="0"/>
          <w:i w:val="0"/>
        </w:rPr>
        <w:t xml:space="preserve">The second objective sums accepted bid MWh and shortage MWh. The third assigns weight 1 to storage charge, storage discharge and absolute corridor flow, plus the class weight of each non-storage downward bid. </w:t>
      </w:r>
      <w:r>
        <w:rPr>
          <w:rFonts w:ascii="DejaVu Sans Mono" w:hAnsi="DejaVu Sans Mono"/>
          <w:b w:val="0"/>
          <w:i w:val="0"/>
          <w:sz w:val="17"/>
        </w:rPr>
        <w:t>physical_dec_weight</w:t>
      </w:r>
      <w:r>
        <w:rPr>
          <w:b w:val="0"/>
          <w:i w:val="0"/>
        </w:rPr>
        <w:t xml:space="preserve"> supplies the weights below; </w:t>
      </w:r>
      <w:r>
        <w:rPr>
          <w:rFonts w:ascii="DejaVu Sans Mono" w:hAnsi="DejaVu Sans Mono"/>
          <w:b w:val="0"/>
          <w:i w:val="0"/>
          <w:sz w:val="17"/>
        </w:rPr>
        <w:t>bid_dec_rank</w:t>
      </w:r>
      <w:r>
        <w:rPr>
          <w:b w:val="0"/>
          <w:i w:val="0"/>
        </w:rPr>
        <w:t xml:space="preserve"> selects the class: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45"/>
        <w:gridCol w:w="2547"/>
      </w:tblGrid>
      <w:tr>
        <w:trPr>
          <w:cantSplit/>
          <w:tblHeader w:val="true"/>
        </w:trPr>
        <w:tc>
          <w:tcPr>
            <w:tcW w:type="dxa" w:w="7245"/>
            <w:vAlign w:val="center"/>
            <w:tcMar>
              <w:top w:w="90" w:type="dxa"/>
              <w:left w:w="90" w:type="dxa"/>
              <w:bottom w:w="90" w:type="dxa"/>
              <w:right w:w="90" w:type="dxa"/>
            </w:tcMar>
            <w:shd w:fill="EEEEEE"/>
          </w:tcPr>
          <w:p>
            <w:pPr>
              <w:spacing w:after="40" w:line="276" w:lineRule="auto"/>
            </w:pPr>
            <w:r>
              <w:rPr>
                <w:b/>
                <w:i w:val="0"/>
                <w:sz w:val="18"/>
              </w:rPr>
              <w:t>Downward class</w:t>
            </w:r>
          </w:p>
        </w:tc>
        <w:tc>
          <w:tcPr>
            <w:tcW w:type="dxa" w:w="2547"/>
            <w:vAlign w:val="center"/>
            <w:tcMar>
              <w:top w:w="90" w:type="dxa"/>
              <w:left w:w="90" w:type="dxa"/>
              <w:bottom w:w="90" w:type="dxa"/>
              <w:right w:w="90" w:type="dxa"/>
            </w:tcMar>
            <w:shd w:fill="EEEEEE"/>
          </w:tcPr>
          <w:p>
            <w:pPr>
              <w:spacing w:after="40" w:line="276" w:lineRule="auto"/>
            </w:pPr>
            <w:r>
              <w:rPr>
                <w:b/>
                <w:i w:val="0"/>
                <w:sz w:val="18"/>
              </w:rPr>
              <w:t>Weight</w:t>
            </w:r>
          </w:p>
        </w:tc>
      </w:tr>
      <w:tr>
        <w:trPr>
          <w:cantSplit/>
        </w:trPr>
        <w:tc>
          <w:tcPr>
            <w:tcW w:type="dxa" w:w="7245"/>
            <w:vAlign w:val="center"/>
            <w:tcMar>
              <w:top w:w="90" w:type="dxa"/>
              <w:left w:w="90" w:type="dxa"/>
              <w:bottom w:w="90" w:type="dxa"/>
              <w:right w:w="90" w:type="dxa"/>
            </w:tcMar>
          </w:tcPr>
          <w:p>
            <w:pPr>
              <w:spacing w:after="40" w:line="276" w:lineRule="auto"/>
            </w:pPr>
            <w:r>
              <w:rPr>
                <w:b w:val="0"/>
                <w:i w:val="0"/>
                <w:sz w:val="18"/>
              </w:rPr>
              <w:t>Fuel plant running range</w:t>
            </w:r>
          </w:p>
        </w:tc>
        <w:tc>
          <w:tcPr>
            <w:tcW w:type="dxa" w:w="2547"/>
            <w:vAlign w:val="center"/>
            <w:tcMar>
              <w:top w:w="90" w:type="dxa"/>
              <w:left w:w="90" w:type="dxa"/>
              <w:bottom w:w="90" w:type="dxa"/>
              <w:right w:w="90" w:type="dxa"/>
            </w:tcMar>
          </w:tcPr>
          <w:p>
            <w:pPr>
              <w:spacing w:after="40" w:line="276" w:lineRule="auto"/>
            </w:pPr>
            <w:r>
              <w:rPr>
                <w:b w:val="0"/>
                <w:i w:val="0"/>
                <w:sz w:val="18"/>
              </w:rPr>
              <w:t>0</w:t>
            </w:r>
          </w:p>
        </w:tc>
      </w:tr>
      <w:tr>
        <w:trPr>
          <w:cantSplit/>
        </w:trPr>
        <w:tc>
          <w:tcPr>
            <w:tcW w:type="dxa" w:w="7245"/>
            <w:vAlign w:val="center"/>
            <w:tcMar>
              <w:top w:w="90" w:type="dxa"/>
              <w:left w:w="90" w:type="dxa"/>
              <w:bottom w:w="90" w:type="dxa"/>
              <w:right w:w="90" w:type="dxa"/>
            </w:tcMar>
          </w:tcPr>
          <w:p>
            <w:pPr>
              <w:spacing w:after="40" w:line="276" w:lineRule="auto"/>
            </w:pPr>
            <w:r>
              <w:rPr>
                <w:b w:val="0"/>
                <w:i w:val="0"/>
                <w:sz w:val="18"/>
              </w:rPr>
              <w:t>Import</w:t>
            </w:r>
          </w:p>
        </w:tc>
        <w:tc>
          <w:tcPr>
            <w:tcW w:type="dxa" w:w="2547"/>
            <w:vAlign w:val="center"/>
            <w:tcMar>
              <w:top w:w="90" w:type="dxa"/>
              <w:left w:w="90" w:type="dxa"/>
              <w:bottom w:w="90" w:type="dxa"/>
              <w:right w:w="90" w:type="dxa"/>
            </w:tcMar>
          </w:tcPr>
          <w:p>
            <w:pPr>
              <w:spacing w:after="40" w:line="276" w:lineRule="auto"/>
            </w:pPr>
            <w:r>
              <w:rPr>
                <w:b w:val="0"/>
                <w:i w:val="0"/>
                <w:sz w:val="18"/>
              </w:rPr>
              <w:t>0.5</w:t>
            </w:r>
          </w:p>
        </w:tc>
      </w:tr>
      <w:tr>
        <w:trPr>
          <w:cantSplit/>
        </w:trPr>
        <w:tc>
          <w:tcPr>
            <w:tcW w:type="dxa" w:w="7245"/>
            <w:vAlign w:val="center"/>
            <w:tcMar>
              <w:top w:w="90" w:type="dxa"/>
              <w:left w:w="90" w:type="dxa"/>
              <w:bottom w:w="90" w:type="dxa"/>
              <w:right w:w="90" w:type="dxa"/>
            </w:tcMar>
          </w:tcPr>
          <w:p>
            <w:pPr>
              <w:spacing w:after="40" w:line="276" w:lineRule="auto"/>
            </w:pPr>
            <w:r>
              <w:rPr>
                <w:b w:val="0"/>
                <w:i w:val="0"/>
                <w:sz w:val="18"/>
              </w:rPr>
              <w:t>Run-of-river hydro</w:t>
            </w:r>
          </w:p>
        </w:tc>
        <w:tc>
          <w:tcPr>
            <w:tcW w:type="dxa" w:w="2547"/>
            <w:vAlign w:val="center"/>
            <w:tcMar>
              <w:top w:w="90" w:type="dxa"/>
              <w:left w:w="90" w:type="dxa"/>
              <w:bottom w:w="90" w:type="dxa"/>
              <w:right w:w="90" w:type="dxa"/>
            </w:tcMar>
          </w:tcPr>
          <w:p>
            <w:pPr>
              <w:spacing w:after="40" w:line="276" w:lineRule="auto"/>
            </w:pPr>
            <w:r>
              <w:rPr>
                <w:b w:val="0"/>
                <w:i w:val="0"/>
                <w:sz w:val="18"/>
              </w:rPr>
              <w:t>2</w:t>
            </w:r>
          </w:p>
        </w:tc>
      </w:tr>
      <w:tr>
        <w:trPr>
          <w:cantSplit/>
        </w:trPr>
        <w:tc>
          <w:tcPr>
            <w:tcW w:type="dxa" w:w="7245"/>
            <w:vAlign w:val="center"/>
            <w:tcMar>
              <w:top w:w="90" w:type="dxa"/>
              <w:left w:w="90" w:type="dxa"/>
              <w:bottom w:w="90" w:type="dxa"/>
              <w:right w:w="90" w:type="dxa"/>
            </w:tcMar>
          </w:tcPr>
          <w:p>
            <w:pPr>
              <w:spacing w:after="40" w:line="276" w:lineRule="auto"/>
            </w:pPr>
            <w:r>
              <w:rPr>
                <w:b w:val="0"/>
                <w:i w:val="0"/>
                <w:sz w:val="18"/>
              </w:rPr>
              <w:t>Wind and solar</w:t>
            </w:r>
          </w:p>
        </w:tc>
        <w:tc>
          <w:tcPr>
            <w:tcW w:type="dxa" w:w="2547"/>
            <w:vAlign w:val="center"/>
            <w:tcMar>
              <w:top w:w="90" w:type="dxa"/>
              <w:left w:w="90" w:type="dxa"/>
              <w:bottom w:w="90" w:type="dxa"/>
              <w:right w:w="90" w:type="dxa"/>
            </w:tcMar>
          </w:tcPr>
          <w:p>
            <w:pPr>
              <w:spacing w:after="40" w:line="276" w:lineRule="auto"/>
            </w:pPr>
            <w:r>
              <w:rPr>
                <w:b w:val="0"/>
                <w:i w:val="0"/>
                <w:sz w:val="18"/>
              </w:rPr>
              <w:t>3</w:t>
            </w:r>
          </w:p>
        </w:tc>
      </w:tr>
      <w:tr>
        <w:trPr>
          <w:cantSplit/>
        </w:trPr>
        <w:tc>
          <w:tcPr>
            <w:tcW w:type="dxa" w:w="7245"/>
            <w:vAlign w:val="center"/>
            <w:tcMar>
              <w:top w:w="90" w:type="dxa"/>
              <w:left w:w="90" w:type="dxa"/>
              <w:bottom w:w="90" w:type="dxa"/>
              <w:right w:w="90" w:type="dxa"/>
            </w:tcMar>
          </w:tcPr>
          <w:p>
            <w:pPr>
              <w:spacing w:after="40" w:line="276" w:lineRule="auto"/>
            </w:pPr>
            <w:r>
              <w:rPr>
                <w:b w:val="0"/>
                <w:i w:val="0"/>
                <w:sz w:val="18"/>
              </w:rPr>
              <w:t>Fuel shutdown</w:t>
            </w:r>
          </w:p>
        </w:tc>
        <w:tc>
          <w:tcPr>
            <w:tcW w:type="dxa" w:w="2547"/>
            <w:vAlign w:val="center"/>
            <w:tcMar>
              <w:top w:w="90" w:type="dxa"/>
              <w:left w:w="90" w:type="dxa"/>
              <w:bottom w:w="90" w:type="dxa"/>
              <w:right w:w="90" w:type="dxa"/>
            </w:tcMar>
          </w:tcPr>
          <w:p>
            <w:pPr>
              <w:spacing w:after="40" w:line="276" w:lineRule="auto"/>
            </w:pPr>
            <w:r>
              <w:rPr>
                <w:b w:val="0"/>
                <w:i w:val="0"/>
                <w:sz w:val="18"/>
              </w:rPr>
              <w:t>3.5</w:t>
            </w:r>
          </w:p>
        </w:tc>
      </w:tr>
      <w:tr>
        <w:trPr>
          <w:cantSplit/>
        </w:trPr>
        <w:tc>
          <w:tcPr>
            <w:tcW w:type="dxa" w:w="7245"/>
            <w:vAlign w:val="center"/>
            <w:tcMar>
              <w:top w:w="90" w:type="dxa"/>
              <w:left w:w="90" w:type="dxa"/>
              <w:bottom w:w="90" w:type="dxa"/>
              <w:right w:w="90" w:type="dxa"/>
            </w:tcMar>
          </w:tcPr>
          <w:p>
            <w:pPr>
              <w:spacing w:after="40" w:line="276" w:lineRule="auto"/>
            </w:pPr>
            <w:r>
              <w:rPr>
                <w:b w:val="0"/>
                <w:i w:val="0"/>
                <w:sz w:val="18"/>
              </w:rPr>
              <w:t>Nuclear</w:t>
            </w:r>
          </w:p>
        </w:tc>
        <w:tc>
          <w:tcPr>
            <w:tcW w:type="dxa" w:w="2547"/>
            <w:vAlign w:val="center"/>
            <w:tcMar>
              <w:top w:w="90" w:type="dxa"/>
              <w:left w:w="90" w:type="dxa"/>
              <w:bottom w:w="90" w:type="dxa"/>
              <w:right w:w="90" w:type="dxa"/>
            </w:tcMar>
          </w:tcPr>
          <w:p>
            <w:pPr>
              <w:spacing w:after="40" w:line="276" w:lineRule="auto"/>
            </w:pPr>
            <w:r>
              <w:rPr>
                <w:b w:val="0"/>
                <w:i w:val="0"/>
                <w:sz w:val="18"/>
              </w:rPr>
              <w:t>4</w:t>
            </w:r>
          </w:p>
        </w:tc>
      </w:tr>
      <w:tr>
        <w:trPr>
          <w:cantSplit/>
        </w:trPr>
        <w:tc>
          <w:tcPr>
            <w:tcW w:type="dxa" w:w="7245"/>
            <w:vAlign w:val="center"/>
            <w:tcMar>
              <w:top w:w="90" w:type="dxa"/>
              <w:left w:w="90" w:type="dxa"/>
              <w:bottom w:w="90" w:type="dxa"/>
              <w:right w:w="90" w:type="dxa"/>
            </w:tcMar>
          </w:tcPr>
          <w:p>
            <w:pPr>
              <w:spacing w:after="40" w:line="276" w:lineRule="auto"/>
            </w:pPr>
            <w:r>
              <w:rPr>
                <w:b w:val="0"/>
                <w:i w:val="0"/>
                <w:sz w:val="18"/>
              </w:rPr>
              <w:t>Fuel shutdown before its minimum downtime</w:t>
            </w:r>
          </w:p>
        </w:tc>
        <w:tc>
          <w:tcPr>
            <w:tcW w:type="dxa" w:w="2547"/>
            <w:vAlign w:val="center"/>
            <w:tcMar>
              <w:top w:w="90" w:type="dxa"/>
              <w:left w:w="90" w:type="dxa"/>
              <w:bottom w:w="90" w:type="dxa"/>
              <w:right w:w="90" w:type="dxa"/>
            </w:tcMar>
          </w:tcPr>
          <w:p>
            <w:pPr>
              <w:spacing w:after="40" w:line="276" w:lineRule="auto"/>
            </w:pPr>
            <w:r>
              <w:rPr>
                <w:b w:val="0"/>
                <w:i w:val="0"/>
                <w:sz w:val="18"/>
              </w:rPr>
              <w:t>5</w:t>
            </w:r>
          </w:p>
        </w:tc>
      </w:tr>
    </w:tbl>
    <w:p>
      <w:pPr>
        <w:spacing w:after="20"/>
      </w:pPr>
    </w:p>
    <w:p>
      <w:r>
        <w:rPr>
          <w:b w:val="0"/>
          <w:i w:val="0"/>
        </w:rPr>
        <w:t>Within a zone and at an exact primary-price tie, storage charging precedes run-of-river, wind, solar and nuclear reductions; fuel shutdown follows wind and solar and precedes nuclear. Across zones, class weights also trade against corridor-flow MWh. The primary LP uses exact prices. The fourth objective weights successive variables by 1, 2, … in the fixed order of bid, corridor, zone and storage identifiers.</w:t>
      </w:r>
    </w:p>
    <w:p>
      <w:pPr>
        <w:keepNext/>
      </w:pPr>
      <w:r>
        <w:rPr>
          <w:b w:val="0"/>
          <w:i w:val="0"/>
        </w:rPr>
        <w:t xml:space="preserve">Final asset injection adds signed accepted bids to the ahead schedule. </w:t>
      </w:r>
      <w:r>
        <w:rPr>
          <w:rFonts w:ascii="DejaVu Sans Mono" w:hAnsi="DejaVu Sans Mono"/>
          <w:b w:val="0"/>
          <w:i w:val="0"/>
          <w:sz w:val="17"/>
        </w:rPr>
        <w:t>final_​dispatch_​mwh_​by_​asset</w:t>
      </w:r>
      <w:r>
        <w:rPr>
          <w:b w:val="0"/>
          <w:i w:val="0"/>
        </w:rPr>
        <w:t xml:space="preserve"> and </w:t>
      </w:r>
      <w:r>
        <w:rPr>
          <w:rFonts w:ascii="DejaVu Sans Mono" w:hAnsi="DejaVu Sans Mono"/>
          <w:b w:val="0"/>
          <w:i w:val="0"/>
          <w:sz w:val="17"/>
        </w:rPr>
        <w:t>schedule_mwh_by_asset</w:t>
      </w:r>
      <w:r>
        <w:rPr>
          <w:b w:val="0"/>
          <w:i w:val="0"/>
        </w:rPr>
        <w:t xml:space="preserve"> are MWh. The index </w:t>
      </w:r>
      <w:r>
        <w:drawing>
          <wp:inline xmlns:a="http://schemas.openxmlformats.org/drawingml/2006/main" xmlns:pic="http://schemas.openxmlformats.org/drawingml/2006/picture">
            <wp:extent cx="86096" cy="117002"/>
            <wp:docPr id="115" name="Picture 115"/>
            <wp:cNvGraphicFramePr>
              <a:graphicFrameLocks noChangeAspect="1"/>
            </wp:cNvGraphicFramePr>
            <a:graphic>
              <a:graphicData uri="http://schemas.openxmlformats.org/drawingml/2006/picture">
                <pic:pic>
                  <pic:nvPicPr>
                    <pic:cNvPr id="0" name="eq-053.png"/>
                    <pic:cNvPicPr/>
                  </pic:nvPicPr>
                  <pic:blipFill>
                    <a:blip r:embed="rId63"/>
                    <a:stretch>
                      <a:fillRect/>
                    </a:stretch>
                  </pic:blipFill>
                  <pic:spPr>
                    <a:xfrm>
                      <a:off x="0" y="0"/>
                      <a:ext cx="86096" cy="117002"/>
                    </a:xfrm>
                    <a:prstGeom prst="rect"/>
                  </pic:spPr>
                </pic:pic>
              </a:graphicData>
            </a:graphic>
          </wp:inline>
        </w:drawing>
      </w:r>
      <w:r>
        <w:rPr>
          <w:b w:val="0"/>
          <w:i w:val="0"/>
        </w:rPr>
        <w:t xml:space="preserve"> identifies a bid; its </w:t>
      </w:r>
      <w:r>
        <w:rPr>
          <w:rFonts w:ascii="DejaVu Sans Mono" w:hAnsi="DejaVu Sans Mono"/>
          <w:b w:val="0"/>
          <w:i w:val="0"/>
          <w:sz w:val="17"/>
        </w:rPr>
        <w:t>asset_id</w:t>
      </w:r>
      <w:r>
        <w:rPr>
          <w:b w:val="0"/>
          <w:i w:val="0"/>
        </w:rPr>
        <w:t xml:space="preserve"> selects asset </w:t>
      </w:r>
      <w:r>
        <w:drawing>
          <wp:inline xmlns:a="http://schemas.openxmlformats.org/drawingml/2006/main" xmlns:pic="http://schemas.openxmlformats.org/drawingml/2006/picture">
            <wp:extent cx="87410" cy="74298"/>
            <wp:docPr id="116" name="Picture 116"/>
            <wp:cNvGraphicFramePr>
              <a:graphicFrameLocks noChangeAspect="1"/>
            </wp:cNvGraphicFramePr>
            <a:graphic>
              <a:graphicData uri="http://schemas.openxmlformats.org/drawingml/2006/picture">
                <pic:pic>
                  <pic:nvPicPr>
                    <pic:cNvPr id="0" name="eq-042.png"/>
                    <pic:cNvPicPr/>
                  </pic:nvPicPr>
                  <pic:blipFill>
                    <a:blip r:embed="rId52"/>
                    <a:stretch>
                      <a:fillRect/>
                    </a:stretch>
                  </pic:blipFill>
                  <pic:spPr>
                    <a:xfrm>
                      <a:off x="0" y="0"/>
                      <a:ext cx="87410" cy="74298"/>
                    </a:xfrm>
                    <a:prstGeom prst="rect"/>
                  </pic:spPr>
                </pic:pic>
              </a:graphicData>
            </a:graphic>
          </wp:inline>
        </w:drawing>
      </w:r>
      <w:r>
        <w:rPr>
          <w:b w:val="0"/>
          <w:i w:val="0"/>
        </w:rPr>
        <w:t xml:space="preserve">, and </w:t>
      </w:r>
      <w:r>
        <w:rPr>
          <w:rFonts w:ascii="DejaVu Sans Mono" w:hAnsi="DejaVu Sans Mono"/>
          <w:b w:val="0"/>
          <w:i w:val="0"/>
          <w:sz w:val="17"/>
        </w:rPr>
        <w:t>asset_zone_id_by_asset</w:t>
      </w:r>
      <w:r>
        <w:rPr>
          <w:b w:val="0"/>
          <w:i w:val="0"/>
        </w:rPr>
        <w:t xml:space="preserve"> selects the zone </w:t>
      </w:r>
      <w:r>
        <w:drawing>
          <wp:inline xmlns:a="http://schemas.openxmlformats.org/drawingml/2006/main" xmlns:pic="http://schemas.openxmlformats.org/drawingml/2006/picture">
            <wp:extent cx="76822" cy="74627"/>
            <wp:docPr id="117" name="Picture 117"/>
            <wp:cNvGraphicFramePr>
              <a:graphicFrameLocks noChangeAspect="1"/>
            </wp:cNvGraphicFramePr>
            <a:graphic>
              <a:graphicData uri="http://schemas.openxmlformats.org/drawingml/2006/picture">
                <pic:pic>
                  <pic:nvPicPr>
                    <pic:cNvPr id="0" name="eq-117.png"/>
                    <pic:cNvPicPr/>
                  </pic:nvPicPr>
                  <pic:blipFill>
                    <a:blip r:embed="rId118"/>
                    <a:stretch>
                      <a:fillRect/>
                    </a:stretch>
                  </pic:blipFill>
                  <pic:spPr>
                    <a:xfrm>
                      <a:off x="0" y="0"/>
                      <a:ext cx="76822" cy="74627"/>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5212308" cy="1067609"/>
            <wp:docPr id="118" name="Picture 118"/>
            <wp:cNvGraphicFramePr>
              <a:graphicFrameLocks noChangeAspect="1"/>
            </wp:cNvGraphicFramePr>
            <a:graphic>
              <a:graphicData uri="http://schemas.openxmlformats.org/drawingml/2006/picture">
                <pic:pic>
                  <pic:nvPicPr>
                    <pic:cNvPr id="0" name="eq-118.png"/>
                    <pic:cNvPicPr/>
                  </pic:nvPicPr>
                  <pic:blipFill>
                    <a:blip r:embed="rId119"/>
                    <a:stretch>
                      <a:fillRect/>
                    </a:stretch>
                  </pic:blipFill>
                  <pic:spPr>
                    <a:xfrm>
                      <a:off x="0" y="0"/>
                      <a:ext cx="5212308" cy="1067609"/>
                    </a:xfrm>
                    <a:prstGeom prst="rect"/>
                  </pic:spPr>
                </pic:pic>
              </a:graphicData>
            </a:graphic>
          </wp:inline>
        </w:drawing>
      </w:r>
    </w:p>
    <w:p>
      <w:pPr>
        <w:keepNext/>
      </w:pPr>
      <w:r>
        <w:rPr>
          <w:b w:val="0"/>
          <w:i w:val="0"/>
        </w:rPr>
        <w:t xml:space="preserve">Zonal conservation equates final supply and incoming transfer to demand and outgoing transfer. Corridor direction follows its declared </w:t>
      </w:r>
      <w:r>
        <w:rPr>
          <w:rFonts w:ascii="DejaVu Sans Mono" w:hAnsi="DejaVu Sans Mono"/>
          <w:b w:val="0"/>
          <w:i w:val="0"/>
          <w:sz w:val="17"/>
        </w:rPr>
        <w:t>from_zone_id</w:t>
      </w:r>
      <w:r>
        <w:rPr>
          <w:b w:val="0"/>
          <w:i w:val="0"/>
        </w:rPr>
        <w:t xml:space="preserve"> and </w:t>
      </w:r>
      <w:r>
        <w:rPr>
          <w:rFonts w:ascii="DejaVu Sans Mono" w:hAnsi="DejaVu Sans Mono"/>
          <w:b w:val="0"/>
          <w:i w:val="0"/>
          <w:sz w:val="17"/>
        </w:rPr>
        <w:t>to_zone_id</w:t>
      </w:r>
      <w:r>
        <w:rPr>
          <w:b w:val="0"/>
          <w:i w:val="0"/>
        </w:rPr>
        <w:t>:</w:t>
      </w:r>
    </w:p>
    <w:p>
      <w:pPr>
        <w:spacing w:after="160"/>
        <w:jc w:val="center"/>
      </w:pPr>
      <w:r>
        <w:drawing>
          <wp:inline xmlns:a="http://schemas.openxmlformats.org/drawingml/2006/main" xmlns:pic="http://schemas.openxmlformats.org/drawingml/2006/picture">
            <wp:extent cx="5951601" cy="836515"/>
            <wp:docPr id="119" name="Picture 119"/>
            <wp:cNvGraphicFramePr>
              <a:graphicFrameLocks noChangeAspect="1"/>
            </wp:cNvGraphicFramePr>
            <a:graphic>
              <a:graphicData uri="http://schemas.openxmlformats.org/drawingml/2006/picture">
                <pic:pic>
                  <pic:nvPicPr>
                    <pic:cNvPr id="0" name="eq-119.png"/>
                    <pic:cNvPicPr/>
                  </pic:nvPicPr>
                  <pic:blipFill>
                    <a:blip r:embed="rId120"/>
                    <a:stretch>
                      <a:fillRect/>
                    </a:stretch>
                  </pic:blipFill>
                  <pic:spPr>
                    <a:xfrm>
                      <a:off x="0" y="0"/>
                      <a:ext cx="5951601" cy="836515"/>
                    </a:xfrm>
                    <a:prstGeom prst="rect"/>
                  </pic:spPr>
                </pic:pic>
              </a:graphicData>
            </a:graphic>
          </wp:inline>
        </w:drawing>
      </w:r>
    </w:p>
    <w:p>
      <w:r>
        <w:rPr>
          <w:b w:val="0"/>
          <w:i w:val="0"/>
        </w:rPr>
        <w:t xml:space="preserve">Bid capacity bounds accepted MWh between zero and </w:t>
      </w:r>
      <w:r>
        <w:rPr>
          <w:rFonts w:ascii="DejaVu Sans Mono" w:hAnsi="DejaVu Sans Mono"/>
          <w:b w:val="0"/>
          <w:i w:val="0"/>
          <w:sz w:val="17"/>
        </w:rPr>
        <w:t>bid_capacity</w:t>
      </w:r>
      <w:r>
        <w:rPr>
          <w:b w:val="0"/>
          <w:i w:val="0"/>
        </w:rPr>
        <w:t xml:space="preserve">; MW bids are multiplied by </w:t>
      </w:r>
      <w:r>
        <w:rPr>
          <w:rFonts w:ascii="DejaVu Sans Mono" w:hAnsi="DejaVu Sans Mono"/>
          <w:b w:val="0"/>
          <w:i w:val="0"/>
          <w:sz w:val="17"/>
        </w:rPr>
        <w:t>period_hours = 0.5</w:t>
      </w:r>
      <w:r>
        <w:rPr>
          <w:b w:val="0"/>
          <w:i w:val="0"/>
        </w:rPr>
        <w:t xml:space="preserve">. Shortage lies between zero and zonal demand. Generator injection lies between zero and </w:t>
      </w:r>
      <w:r>
        <w:rPr>
          <w:rFonts w:ascii="DejaVu Sans Mono" w:hAnsi="DejaVu Sans Mono"/>
          <w:b w:val="0"/>
          <w:i w:val="0"/>
          <w:sz w:val="17"/>
        </w:rPr>
        <w:t>realised_​availability_​mw_​by_​asset</w:t>
      </w:r>
      <w:r>
        <w:rPr>
          <w:b w:val="0"/>
          <w:i w:val="0"/>
        </w:rPr>
        <w:t xml:space="preserve"> times period hours. Interconnector injection lies between negative </w:t>
      </w:r>
      <w:r>
        <w:rPr>
          <w:rFonts w:ascii="DejaVu Sans Mono" w:hAnsi="DejaVu Sans Mono"/>
          <w:b w:val="0"/>
          <w:i w:val="0"/>
          <w:sz w:val="17"/>
        </w:rPr>
        <w:t>export_capacity_mwh</w:t>
      </w:r>
      <w:r>
        <w:rPr>
          <w:b w:val="0"/>
          <w:i w:val="0"/>
        </w:rPr>
        <w:t xml:space="preserve"> and positive </w:t>
      </w:r>
      <w:r>
        <w:rPr>
          <w:rFonts w:ascii="DejaVu Sans Mono" w:hAnsi="DejaVu Sans Mono"/>
          <w:b w:val="0"/>
          <w:i w:val="0"/>
          <w:sz w:val="17"/>
        </w:rPr>
        <w:t>import_capacity_mwh</w:t>
      </w:r>
      <w:r>
        <w:rPr>
          <w:b w:val="0"/>
          <w:i w:val="0"/>
        </w:rPr>
        <w:t>.</w:t>
      </w:r>
    </w:p>
    <w:p>
      <w:pPr>
        <w:keepNext/>
      </w:pPr>
      <w:r>
        <w:rPr>
          <w:b w:val="0"/>
          <w:i w:val="0"/>
        </w:rPr>
        <w:t xml:space="preserve">Equal-price non-storage bids share free acceptance proportionally. Upward groups share zone, direction, network effect and price; downward groups also share downward class. </w:t>
      </w:r>
      <w:r>
        <w:rPr>
          <w:rFonts w:ascii="DejaVu Sans Mono" w:hAnsi="DejaVu Sans Mono"/>
          <w:b w:val="0"/>
          <w:i w:val="0"/>
          <w:sz w:val="17"/>
        </w:rPr>
        <w:t>_forced_down_by_bid</w:t>
      </w:r>
      <w:r>
        <w:rPr>
          <w:b w:val="0"/>
          <w:i w:val="0"/>
        </w:rPr>
        <w:t xml:space="preserve"> first sets aside the reduction required by actual availability or the interconnector envelope. For a bid and the first bid in its group, the implementation uses</w:t>
      </w:r>
    </w:p>
    <w:p>
      <w:pPr>
        <w:spacing w:after="160"/>
        <w:jc w:val="center"/>
      </w:pPr>
      <w:r>
        <w:drawing>
          <wp:inline xmlns:a="http://schemas.openxmlformats.org/drawingml/2006/main" xmlns:pic="http://schemas.openxmlformats.org/drawingml/2006/picture">
            <wp:extent cx="4999863" cy="642415"/>
            <wp:docPr id="120" name="Picture 120"/>
            <wp:cNvGraphicFramePr>
              <a:graphicFrameLocks noChangeAspect="1"/>
            </wp:cNvGraphicFramePr>
            <a:graphic>
              <a:graphicData uri="http://schemas.openxmlformats.org/drawingml/2006/picture">
                <pic:pic>
                  <pic:nvPicPr>
                    <pic:cNvPr id="0" name="eq-120.png"/>
                    <pic:cNvPicPr/>
                  </pic:nvPicPr>
                  <pic:blipFill>
                    <a:blip r:embed="rId121"/>
                    <a:stretch>
                      <a:fillRect/>
                    </a:stretch>
                  </pic:blipFill>
                  <pic:spPr>
                    <a:xfrm>
                      <a:off x="0" y="0"/>
                      <a:ext cx="4999863" cy="642415"/>
                    </a:xfrm>
                    <a:prstGeom prst="rect"/>
                  </pic:spPr>
                </pic:pic>
              </a:graphicData>
            </a:graphic>
          </wp:inline>
        </w:drawing>
      </w:r>
    </w:p>
    <w:p>
      <w:pPr>
        <w:keepNext/>
      </w:pPr>
      <w:r>
        <w:rPr>
          <w:b w:val="0"/>
          <w:i w:val="0"/>
        </w:rPr>
        <w:t xml:space="preserve">Each geographical boundary limits signed flow across its member corridors. </w:t>
      </w:r>
      <w:r>
        <w:rPr>
          <w:rFonts w:ascii="DejaVu Sans Mono" w:hAnsi="DejaVu Sans Mono"/>
          <w:b w:val="0"/>
          <w:i w:val="0"/>
          <w:sz w:val="17"/>
        </w:rPr>
        <w:t>coefficient</w:t>
      </w:r>
      <w:r>
        <w:rPr>
          <w:b w:val="0"/>
          <w:i w:val="0"/>
        </w:rPr>
        <w:t xml:space="preserve"> is the member's direction coefficient; </w:t>
      </w:r>
      <w:r>
        <w:rPr>
          <w:rFonts w:ascii="DejaVu Sans Mono" w:hAnsi="DejaVu Sans Mono"/>
          <w:b w:val="0"/>
          <w:i w:val="0"/>
          <w:sz w:val="17"/>
        </w:rPr>
        <w:t>forward_capacity</w:t>
      </w:r>
      <w:r>
        <w:rPr>
          <w:b w:val="0"/>
          <w:i w:val="0"/>
        </w:rPr>
        <w:t xml:space="preserve"> and </w:t>
      </w:r>
      <w:r>
        <w:rPr>
          <w:rFonts w:ascii="DejaVu Sans Mono" w:hAnsi="DejaVu Sans Mono"/>
          <w:b w:val="0"/>
          <w:i w:val="0"/>
          <w:sz w:val="17"/>
        </w:rPr>
        <w:t>reverse_capacity</w:t>
      </w:r>
      <w:r>
        <w:rPr>
          <w:b w:val="0"/>
          <w:i w:val="0"/>
        </w:rPr>
        <w:t xml:space="preserve"> are period MWh after converting any MW input:</w:t>
      </w:r>
    </w:p>
    <w:p>
      <w:pPr>
        <w:spacing w:after="160"/>
        <w:jc w:val="center"/>
      </w:pPr>
      <w:r>
        <w:drawing>
          <wp:inline xmlns:a="http://schemas.openxmlformats.org/drawingml/2006/main" xmlns:pic="http://schemas.openxmlformats.org/drawingml/2006/picture">
            <wp:extent cx="5372404" cy="377211"/>
            <wp:docPr id="121" name="Picture 121"/>
            <wp:cNvGraphicFramePr>
              <a:graphicFrameLocks noChangeAspect="1"/>
            </wp:cNvGraphicFramePr>
            <a:graphic>
              <a:graphicData uri="http://schemas.openxmlformats.org/drawingml/2006/picture">
                <pic:pic>
                  <pic:nvPicPr>
                    <pic:cNvPr id="0" name="eq-121.png"/>
                    <pic:cNvPicPr/>
                  </pic:nvPicPr>
                  <pic:blipFill>
                    <a:blip r:embed="rId122"/>
                    <a:stretch>
                      <a:fillRect/>
                    </a:stretch>
                  </pic:blipFill>
                  <pic:spPr>
                    <a:xfrm>
                      <a:off x="0" y="0"/>
                      <a:ext cx="5372404" cy="377211"/>
                    </a:xfrm>
                    <a:prstGeom prst="rect"/>
                  </pic:spPr>
                </pic:pic>
              </a:graphicData>
            </a:graphic>
          </wp:inline>
        </w:drawing>
      </w:r>
    </w:p>
    <w:p>
      <w:r>
        <w:rPr>
          <w:b w:val="0"/>
          <w:i w:val="0"/>
        </w:rPr>
        <w:t xml:space="preserve">All boundary constraints apply together. A corridor-specific limit additionally bounds its own flow; </w:t>
      </w:r>
      <w:r>
        <w:rPr>
          <w:rFonts w:ascii="DejaVu Sans Mono" w:hAnsi="DejaVu Sans Mono"/>
          <w:b w:val="0"/>
          <w:i w:val="0"/>
          <w:sz w:val="17"/>
        </w:rPr>
        <w:t>absolute-flow</w:t>
      </w:r>
      <w:r>
        <w:rPr>
          <w:b w:val="0"/>
          <w:i w:val="0"/>
        </w:rPr>
        <w:t xml:space="preserve"> is at least both positive and negative signed flow. Thus 6,700 MW at B6 becomes 3,350 MWh per half-hour. Corridors without individual limits remain constrained by zonal conservation and their boundary memberships.</w:t>
      </w:r>
    </w:p>
    <w:p>
      <w:pPr>
        <w:keepNext/>
      </w:pPr>
      <w:r>
        <w:rPr>
          <w:b w:val="0"/>
          <w:i w:val="0"/>
        </w:rPr>
        <w:t xml:space="preserve">Storage redispatch determines final internal inventory from realised charge and discharge. </w:t>
      </w:r>
      <w:r>
        <w:rPr>
          <w:rFonts w:ascii="DejaVu Sans Mono" w:hAnsi="DejaVu Sans Mono"/>
          <w:b w:val="0"/>
          <w:i w:val="0"/>
          <w:sz w:val="17"/>
        </w:rPr>
        <w:t>opening</w:t>
      </w:r>
      <w:r>
        <w:rPr>
          <w:b w:val="0"/>
          <w:i w:val="0"/>
        </w:rPr>
        <w:t xml:space="preserve"> is </w:t>
      </w:r>
      <w:r>
        <w:rPr>
          <w:rFonts w:ascii="DejaVu Sans Mono" w:hAnsi="DejaVu Sans Mono"/>
          <w:b w:val="0"/>
          <w:i w:val="0"/>
          <w:sz w:val="17"/>
        </w:rPr>
        <w:t>initial_​soc_​mwh_​by_​asset</w:t>
      </w:r>
      <w:r>
        <w:rPr>
          <w:b w:val="0"/>
          <w:i w:val="0"/>
        </w:rPr>
        <w:t xml:space="preserve">; </w:t>
      </w:r>
      <w:r>
        <w:rPr>
          <w:rFonts w:ascii="DejaVu Sans Mono" w:hAnsi="DejaVu Sans Mono"/>
          <w:b w:val="0"/>
          <w:i w:val="0"/>
          <w:sz w:val="17"/>
        </w:rPr>
        <w:t>capacity</w:t>
      </w:r>
      <w:r>
        <w:rPr>
          <w:b w:val="0"/>
          <w:i w:val="0"/>
        </w:rPr>
        <w:t xml:space="preserve"> is </w:t>
      </w:r>
      <w:r>
        <w:rPr>
          <w:rFonts w:ascii="DejaVu Sans Mono" w:hAnsi="DejaVu Sans Mono"/>
          <w:b w:val="0"/>
          <w:i w:val="0"/>
          <w:sz w:val="17"/>
        </w:rPr>
        <w:t>energy_capacity_mwh</w:t>
      </w:r>
      <w:r>
        <w:rPr>
          <w:b w:val="0"/>
          <w:i w:val="0"/>
        </w:rPr>
        <w:t>. For each store,</w:t>
      </w:r>
    </w:p>
    <w:p>
      <w:pPr>
        <w:spacing w:after="160"/>
        <w:jc w:val="center"/>
      </w:pPr>
      <w:r>
        <w:drawing>
          <wp:inline xmlns:a="http://schemas.openxmlformats.org/drawingml/2006/main" xmlns:pic="http://schemas.openxmlformats.org/drawingml/2006/picture">
            <wp:extent cx="6217920" cy="834915"/>
            <wp:docPr id="122" name="Picture 122"/>
            <wp:cNvGraphicFramePr>
              <a:graphicFrameLocks noChangeAspect="1"/>
            </wp:cNvGraphicFramePr>
            <a:graphic>
              <a:graphicData uri="http://schemas.openxmlformats.org/drawingml/2006/picture">
                <pic:pic>
                  <pic:nvPicPr>
                    <pic:cNvPr id="0" name="eq-122.png"/>
                    <pic:cNvPicPr/>
                  </pic:nvPicPr>
                  <pic:blipFill>
                    <a:blip r:embed="rId123"/>
                    <a:stretch>
                      <a:fillRect/>
                    </a:stretch>
                  </pic:blipFill>
                  <pic:spPr>
                    <a:xfrm>
                      <a:off x="0" y="0"/>
                      <a:ext cx="6217920" cy="834915"/>
                    </a:xfrm>
                    <a:prstGeom prst="rect"/>
                  </pic:spPr>
                </pic:pic>
              </a:graphicData>
            </a:graphic>
          </wp:inline>
        </w:drawing>
      </w:r>
    </w:p>
    <w:p>
      <w:r>
        <w:rPr>
          <w:b w:val="0"/>
          <w:i w:val="0"/>
        </w:rPr>
        <w:t xml:space="preserve">Charging and discharging lie between zero and their respective power limits times </w:t>
      </w:r>
      <w:r>
        <w:rPr>
          <w:rFonts w:ascii="DejaVu Sans Mono" w:hAnsi="DejaVu Sans Mono"/>
          <w:b w:val="0"/>
          <w:i w:val="0"/>
          <w:sz w:val="17"/>
        </w:rPr>
        <w:t>period_hours</w:t>
      </w:r>
      <w:r>
        <w:rPr>
          <w:b w:val="0"/>
          <w:i w:val="0"/>
        </w:rPr>
        <w:t xml:space="preserve">; final inventory lies between zero and </w:t>
      </w:r>
      <w:r>
        <w:rPr>
          <w:rFonts w:ascii="DejaVu Sans Mono" w:hAnsi="DejaVu Sans Mono"/>
          <w:b w:val="0"/>
          <w:i w:val="0"/>
          <w:sz w:val="17"/>
        </w:rPr>
        <w:t>capacity</w:t>
      </w:r>
      <w:r>
        <w:rPr>
          <w:b w:val="0"/>
          <w:i w:val="0"/>
        </w:rPr>
        <w:t xml:space="preserve">. Storage bids use </w:t>
      </w:r>
      <w:r>
        <w:rPr>
          <w:rFonts w:ascii="DejaVu Sans Mono" w:hAnsi="DejaVu Sans Mono"/>
          <w:b w:val="0"/>
          <w:i w:val="0"/>
          <w:sz w:val="17"/>
        </w:rPr>
        <w:t>convex_net_power_v1</w:t>
      </w:r>
      <w:r>
        <w:rPr>
          <w:b w:val="0"/>
          <w:i w:val="0"/>
        </w:rPr>
        <w:t xml:space="preserve">, with at most one bid per direction and a downward price at most the upward price plus </w:t>
      </w:r>
      <w:r>
        <w:drawing>
          <wp:inline xmlns:a="http://schemas.openxmlformats.org/drawingml/2006/main" xmlns:pic="http://schemas.openxmlformats.org/drawingml/2006/picture">
            <wp:extent cx="328247" cy="146617"/>
            <wp:docPr id="123" name="Picture 123"/>
            <wp:cNvGraphicFramePr>
              <a:graphicFrameLocks noChangeAspect="1"/>
            </wp:cNvGraphicFramePr>
            <a:graphic>
              <a:graphicData uri="http://schemas.openxmlformats.org/drawingml/2006/picture">
                <pic:pic>
                  <pic:nvPicPr>
                    <pic:cNvPr id="0" name="eq-111.png"/>
                    <pic:cNvPicPr/>
                  </pic:nvPicPr>
                  <pic:blipFill>
                    <a:blip r:embed="rId114"/>
                    <a:stretch>
                      <a:fillRect/>
                    </a:stretch>
                  </pic:blipFill>
                  <pic:spPr>
                    <a:xfrm>
                      <a:off x="0" y="0"/>
                      <a:ext cx="328247" cy="146617"/>
                    </a:xfrm>
                    <a:prstGeom prst="rect"/>
                  </pic:spPr>
                </pic:pic>
              </a:graphicData>
            </a:graphic>
          </wp:inline>
        </w:drawing>
      </w:r>
      <w:r>
        <w:rPr>
          <w:b w:val="0"/>
          <w:i w:val="0"/>
        </w:rPr>
        <w:t xml:space="preserve"> GBP/MWh. Final simultaneous charging and discharging must be at most </w:t>
      </w:r>
      <w:r>
        <w:drawing>
          <wp:inline xmlns:a="http://schemas.openxmlformats.org/drawingml/2006/main" xmlns:pic="http://schemas.openxmlformats.org/drawingml/2006/picture">
            <wp:extent cx="328247" cy="146617"/>
            <wp:docPr id="124" name="Picture 124"/>
            <wp:cNvGraphicFramePr>
              <a:graphicFrameLocks noChangeAspect="1"/>
            </wp:cNvGraphicFramePr>
            <a:graphic>
              <a:graphicData uri="http://schemas.openxmlformats.org/drawingml/2006/picture">
                <pic:pic>
                  <pic:nvPicPr>
                    <pic:cNvPr id="0" name="eq-111.png"/>
                    <pic:cNvPicPr/>
                  </pic:nvPicPr>
                  <pic:blipFill>
                    <a:blip r:embed="rId114"/>
                    <a:stretch>
                      <a:fillRect/>
                    </a:stretch>
                  </pic:blipFill>
                  <pic:spPr>
                    <a:xfrm>
                      <a:off x="0" y="0"/>
                      <a:ext cx="328247" cy="146617"/>
                    </a:xfrm>
                    <a:prstGeom prst="rect"/>
                  </pic:spPr>
                </pic:pic>
              </a:graphicData>
            </a:graphic>
          </wp:inline>
        </w:drawing>
      </w:r>
      <w:r>
        <w:rPr>
          <w:b w:val="0"/>
          <w:i w:val="0"/>
        </w:rPr>
        <w:t xml:space="preserve"> MWh. Final inventory becomes the next period's opening inventory; the national schedule and submitted bids provide the current intertemporal valuation.</w:t>
      </w:r>
    </w:p>
    <w:p>
      <w:pPr>
        <w:keepNext/>
      </w:pPr>
      <w:r>
        <w:rPr>
          <w:b w:val="0"/>
          <w:i w:val="0"/>
        </w:rPr>
        <w:t xml:space="preserve">Physical resource expenditure is calculated separately from bid payments. </w:t>
      </w:r>
      <w:r>
        <w:rPr>
          <w:rFonts w:ascii="DejaVu Sans Mono" w:hAnsi="DejaVu Sans Mono"/>
          <w:b w:val="0"/>
          <w:i w:val="0"/>
          <w:sz w:val="17"/>
        </w:rPr>
        <w:t>resource_​cost_​gbp_​per_​mwh_​by_​asset</w:t>
      </w:r>
      <w:r>
        <w:rPr>
          <w:b w:val="0"/>
          <w:i w:val="0"/>
        </w:rPr>
        <w:t xml:space="preserve"> multiplies positive final injection, and shortage incurs VoLL:</w:t>
      </w:r>
    </w:p>
    <w:p>
      <w:pPr>
        <w:spacing w:after="160"/>
        <w:jc w:val="center"/>
      </w:pPr>
      <w:r>
        <w:drawing>
          <wp:inline xmlns:a="http://schemas.openxmlformats.org/drawingml/2006/main" xmlns:pic="http://schemas.openxmlformats.org/drawingml/2006/picture">
            <wp:extent cx="5682005" cy="1003379"/>
            <wp:docPr id="125" name="Picture 125"/>
            <wp:cNvGraphicFramePr>
              <a:graphicFrameLocks noChangeAspect="1"/>
            </wp:cNvGraphicFramePr>
            <a:graphic>
              <a:graphicData uri="http://schemas.openxmlformats.org/drawingml/2006/picture">
                <pic:pic>
                  <pic:nvPicPr>
                    <pic:cNvPr id="0" name="eq-125.png"/>
                    <pic:cNvPicPr/>
                  </pic:nvPicPr>
                  <pic:blipFill>
                    <a:blip r:embed="rId124"/>
                    <a:stretch>
                      <a:fillRect/>
                    </a:stretch>
                  </pic:blipFill>
                  <pic:spPr>
                    <a:xfrm>
                      <a:off x="0" y="0"/>
                      <a:ext cx="5682005" cy="1003379"/>
                    </a:xfrm>
                    <a:prstGeom prst="rect"/>
                  </pic:spPr>
                </pic:pic>
              </a:graphicData>
            </a:graphic>
          </wp:inline>
        </w:drawing>
      </w:r>
    </w:p>
    <w:p>
      <w:r>
        <w:rPr>
          <w:b w:val="0"/>
          <w:i w:val="0"/>
        </w:rPr>
        <w:t xml:space="preserve">Network constraint cost compares this result with the same LP collapsed to one node, removing corridors and boundaries. </w:t>
      </w:r>
      <w:r>
        <w:rPr>
          <w:rFonts w:ascii="DejaVu Sans Mono" w:hAnsi="DejaVu Sans Mono"/>
          <w:b w:val="0"/>
          <w:i w:val="0"/>
          <w:sz w:val="17"/>
        </w:rPr>
        <w:t>solve_​network_​free_​counterfactual</w:t>
      </w:r>
      <w:r>
        <w:rPr>
          <w:b w:val="0"/>
          <w:i w:val="0"/>
        </w:rPr>
        <w:t xml:space="preserve"> retains bids, export arbitrage, import/export envelopes, storage physics, shortage valuation and solver settings. Both cases use the same period unit-cost table: supplied time-varying resource cost, otherwise annual marginal cost, storage cycle depreciation and zero export resource cost. Negative import prices can give negative period resource expenditure.</w:t>
      </w:r>
    </w:p>
    <w:p>
      <w:r>
        <w:rPr>
          <w:b w:val="0"/>
          <w:i w:val="0"/>
        </w:rPr>
        <w:t xml:space="preserve">The primary-objective difference is returned as </w:t>
      </w:r>
      <w:r>
        <w:rPr>
          <w:rFonts w:ascii="DejaVu Sans Mono" w:hAnsi="DejaVu Sans Mono"/>
          <w:b w:val="0"/>
          <w:i w:val="0"/>
          <w:sz w:val="17"/>
        </w:rPr>
        <w:t>network_​constraint_​bid_​objective_​gbp</w:t>
      </w:r>
      <w:r>
        <w:rPr>
          <w:b w:val="0"/>
          <w:i w:val="0"/>
        </w:rPr>
        <w:t xml:space="preserve">. It measures the change in accepted bid payments and shortage valuation; </w:t>
      </w:r>
      <w:r>
        <w:rPr>
          <w:rFonts w:ascii="DejaVu Sans Mono" w:hAnsi="DejaVu Sans Mono"/>
          <w:b w:val="0"/>
          <w:i w:val="0"/>
          <w:sz w:val="17"/>
        </w:rPr>
        <w:t>physical_​resource_​cost_​gbp</w:t>
      </w:r>
      <w:r>
        <w:rPr>
          <w:b w:val="0"/>
          <w:i w:val="0"/>
        </w:rPr>
        <w:t xml:space="preserve"> measures resource expenditure.</w:t>
      </w:r>
    </w:p>
    <w:p>
      <w:pPr>
        <w:pStyle w:val="Heading2"/>
      </w:pPr>
      <w:r>
        <w:rPr>
          <w:b w:val="0"/>
          <w:i w:val="0"/>
        </w:rPr>
        <w:t>Numerical solution and boundary marginal values</w:t>
      </w:r>
    </w:p>
    <w:p>
      <w:r>
        <w:rPr>
          <w:b w:val="0"/>
          <w:i w:val="0"/>
        </w:rPr>
        <w:t xml:space="preserve">The solver locks total shortage from the primary optimum before bounding its bid-cost component. </w:t>
      </w:r>
      <w:r>
        <w:rPr>
          <w:rFonts w:ascii="DejaVu Sans Mono" w:hAnsi="DejaVu Sans Mono"/>
          <w:b w:val="0"/>
          <w:i w:val="0"/>
          <w:sz w:val="17"/>
        </w:rPr>
        <w:t>lock_primary_shedding</w:t>
      </w:r>
      <w:r>
        <w:rPr>
          <w:b w:val="0"/>
          <w:i w:val="0"/>
        </w:rPr>
        <w:t xml:space="preserve"> sets every shortage variable to zero when the primary total is zero; otherwise their sum is bounded above by that primary total. </w:t>
      </w:r>
      <w:r>
        <w:rPr>
          <w:rFonts w:ascii="DejaVu Sans Mono" w:hAnsi="DejaVu Sans Mono"/>
          <w:b w:val="0"/>
          <w:i w:val="0"/>
          <w:sz w:val="17"/>
        </w:rPr>
        <w:t>bid_cost_coefficients</w:t>
      </w:r>
      <w:r>
        <w:rPr>
          <w:b w:val="0"/>
          <w:i w:val="0"/>
        </w:rPr>
        <w:t xml:space="preserve"> supplies the bid-only objective for the next bound.</w:t>
      </w:r>
    </w:p>
    <w:p>
      <w:pPr>
        <w:keepNext/>
      </w:pPr>
      <w:r>
        <w:rPr>
          <w:b w:val="0"/>
          <w:i w:val="0"/>
        </w:rPr>
        <w:t xml:space="preserve">Objective locks use a scale-aware floating-point tolerance. </w:t>
      </w:r>
      <w:r>
        <w:rPr>
          <w:rFonts w:ascii="DejaVu Sans Mono" w:hAnsi="DejaVu Sans Mono"/>
          <w:b w:val="0"/>
          <w:i w:val="0"/>
          <w:sz w:val="17"/>
        </w:rPr>
        <w:t>compute_lock_tolerance</w:t>
      </w:r>
      <w:r>
        <w:rPr>
          <w:b w:val="0"/>
          <w:i w:val="0"/>
        </w:rPr>
        <w:t xml:space="preserve"> reads the objective </w:t>
      </w:r>
      <w:r>
        <w:rPr>
          <w:rFonts w:ascii="DejaVu Sans Mono" w:hAnsi="DejaVu Sans Mono"/>
          <w:b w:val="0"/>
          <w:i w:val="0"/>
          <w:sz w:val="17"/>
        </w:rPr>
        <w:t>coefficients</w:t>
      </w:r>
      <w:r>
        <w:rPr>
          <w:b w:val="0"/>
          <w:i w:val="0"/>
        </w:rPr>
        <w:t xml:space="preserve">, the preceding </w:t>
      </w:r>
      <w:r>
        <w:rPr>
          <w:rFonts w:ascii="DejaVu Sans Mono" w:hAnsi="DejaVu Sans Mono"/>
          <w:b w:val="0"/>
          <w:i w:val="0"/>
          <w:sz w:val="17"/>
        </w:rPr>
        <w:t>optimum</w:t>
      </w:r>
      <w:r>
        <w:rPr>
          <w:b w:val="0"/>
          <w:i w:val="0"/>
        </w:rPr>
        <w:t xml:space="preserve">, a </w:t>
      </w:r>
      <w:r>
        <w:rPr>
          <w:rFonts w:ascii="DejaVu Sans Mono" w:hAnsi="DejaVu Sans Mono"/>
          <w:b w:val="0"/>
          <w:i w:val="0"/>
          <w:sz w:val="17"/>
        </w:rPr>
        <w:t>unit_floor</w:t>
      </w:r>
      <w:r>
        <w:rPr>
          <w:b w:val="0"/>
          <w:i w:val="0"/>
        </w:rPr>
        <w:t xml:space="preserve"> and the effective </w:t>
      </w:r>
      <w:r>
        <w:rPr>
          <w:rFonts w:ascii="DejaVu Sans Mono" w:hAnsi="DejaVu Sans Mono"/>
          <w:b w:val="0"/>
          <w:i w:val="0"/>
          <w:sz w:val="17"/>
        </w:rPr>
        <w:t>solver_tolerance</w:t>
      </w:r>
      <w:r>
        <w:rPr>
          <w:b w:val="0"/>
          <w:i w:val="0"/>
        </w:rPr>
        <w:t>. It computes</w:t>
      </w:r>
    </w:p>
    <w:p>
      <w:pPr>
        <w:spacing w:after="160"/>
        <w:jc w:val="center"/>
      </w:pPr>
      <w:r>
        <w:drawing>
          <wp:inline xmlns:a="http://schemas.openxmlformats.org/drawingml/2006/main" xmlns:pic="http://schemas.openxmlformats.org/drawingml/2006/picture">
            <wp:extent cx="5080939" cy="2194198"/>
            <wp:docPr id="126" name="Picture 126"/>
            <wp:cNvGraphicFramePr>
              <a:graphicFrameLocks noChangeAspect="1"/>
            </wp:cNvGraphicFramePr>
            <a:graphic>
              <a:graphicData uri="http://schemas.openxmlformats.org/drawingml/2006/picture">
                <pic:pic>
                  <pic:nvPicPr>
                    <pic:cNvPr id="0" name="eq-126.png"/>
                    <pic:cNvPicPr/>
                  </pic:nvPicPr>
                  <pic:blipFill>
                    <a:blip r:embed="rId125"/>
                    <a:stretch>
                      <a:fillRect/>
                    </a:stretch>
                  </pic:blipFill>
                  <pic:spPr>
                    <a:xfrm>
                      <a:off x="0" y="0"/>
                      <a:ext cx="5080939" cy="2194198"/>
                    </a:xfrm>
                    <a:prstGeom prst="rect"/>
                  </pic:spPr>
                </pic:pic>
              </a:graphicData>
            </a:graphic>
          </wp:inline>
        </w:drawing>
      </w:r>
    </w:p>
    <w:p>
      <w:r>
        <w:rPr>
          <w:b w:val="0"/>
          <w:i w:val="0"/>
        </w:rPr>
        <w:t xml:space="preserve">Here </w:t>
      </w:r>
      <w:r>
        <w:rPr>
          <w:rFonts w:ascii="DejaVu Sans Mono" w:hAnsi="DejaVu Sans Mono"/>
          <w:b w:val="0"/>
          <w:i w:val="0"/>
          <w:sz w:val="17"/>
        </w:rPr>
        <w:t>nonzero_terms</w:t>
      </w:r>
      <w:r>
        <w:rPr>
          <w:b w:val="0"/>
          <w:i w:val="0"/>
        </w:rPr>
        <w:t xml:space="preserve"> counts nonzero coefficients and </w:t>
      </w:r>
      <w:r>
        <w:rPr>
          <w:rFonts w:ascii="DejaVu Sans Mono" w:hAnsi="DejaVu Sans Mono"/>
          <w:b w:val="0"/>
          <w:i w:val="0"/>
          <w:sz w:val="17"/>
        </w:rPr>
        <w:t>epsilon</w:t>
      </w:r>
      <w:r>
        <w:rPr>
          <w:b w:val="0"/>
          <w:i w:val="0"/>
        </w:rPr>
        <w:t xml:space="preserve"> is machine precision. The effective tolerance takes the larger of the applicable solver and bound-canonicalisation tolerances. The bid-cost lock uses a </w:t>
      </w:r>
      <w:r>
        <w:drawing>
          <wp:inline xmlns:a="http://schemas.openxmlformats.org/drawingml/2006/main" xmlns:pic="http://schemas.openxmlformats.org/drawingml/2006/picture">
            <wp:extent cx="328247" cy="146617"/>
            <wp:docPr id="127" name="Picture 127"/>
            <wp:cNvGraphicFramePr>
              <a:graphicFrameLocks noChangeAspect="1"/>
            </wp:cNvGraphicFramePr>
            <a:graphic>
              <a:graphicData uri="http://schemas.openxmlformats.org/drawingml/2006/picture">
                <pic:pic>
                  <pic:nvPicPr>
                    <pic:cNvPr id="0" name="eq-111.png"/>
                    <pic:cNvPicPr/>
                  </pic:nvPicPr>
                  <pic:blipFill>
                    <a:blip r:embed="rId114"/>
                    <a:stretch>
                      <a:fillRect/>
                    </a:stretch>
                  </pic:blipFill>
                  <pic:spPr>
                    <a:xfrm>
                      <a:off x="0" y="0"/>
                      <a:ext cx="328247" cy="146617"/>
                    </a:xfrm>
                    <a:prstGeom prst="rect"/>
                  </pic:spPr>
                </pic:pic>
              </a:graphicData>
            </a:graphic>
          </wp:inline>
        </w:drawing>
      </w:r>
      <w:r>
        <w:rPr>
          <w:b w:val="0"/>
          <w:i w:val="0"/>
        </w:rPr>
        <w:t xml:space="preserve"> GBP floor and default solver tolerance </w:t>
      </w:r>
      <w:r>
        <w:drawing>
          <wp:inline xmlns:a="http://schemas.openxmlformats.org/drawingml/2006/main" xmlns:pic="http://schemas.openxmlformats.org/drawingml/2006/picture">
            <wp:extent cx="328247" cy="146617"/>
            <wp:docPr id="128" name="Picture 128"/>
            <wp:cNvGraphicFramePr>
              <a:graphicFrameLocks noChangeAspect="1"/>
            </wp:cNvGraphicFramePr>
            <a:graphic>
              <a:graphicData uri="http://schemas.openxmlformats.org/drawingml/2006/picture">
                <pic:pic>
                  <pic:nvPicPr>
                    <pic:cNvPr id="0" name="eq-089.png"/>
                    <pic:cNvPicPr/>
                  </pic:nvPicPr>
                  <pic:blipFill>
                    <a:blip r:embed="rId93"/>
                    <a:stretch>
                      <a:fillRect/>
                    </a:stretch>
                  </pic:blipFill>
                  <pic:spPr>
                    <a:xfrm>
                      <a:off x="0" y="0"/>
                      <a:ext cx="328247" cy="146617"/>
                    </a:xfrm>
                    <a:prstGeom prst="rect"/>
                  </pic:spPr>
                </pic:pic>
              </a:graphicData>
            </a:graphic>
          </wp:inline>
        </w:drawing>
      </w:r>
      <w:r>
        <w:rPr>
          <w:b w:val="0"/>
          <w:i w:val="0"/>
        </w:rPr>
        <w:t xml:space="preserve">; MWh locks use a </w:t>
      </w:r>
      <w:r>
        <w:drawing>
          <wp:inline xmlns:a="http://schemas.openxmlformats.org/drawingml/2006/main" xmlns:pic="http://schemas.openxmlformats.org/drawingml/2006/picture">
            <wp:extent cx="328247" cy="146617"/>
            <wp:docPr id="129" name="Picture 129"/>
            <wp:cNvGraphicFramePr>
              <a:graphicFrameLocks noChangeAspect="1"/>
            </wp:cNvGraphicFramePr>
            <a:graphic>
              <a:graphicData uri="http://schemas.openxmlformats.org/drawingml/2006/picture">
                <pic:pic>
                  <pic:nvPicPr>
                    <pic:cNvPr id="0" name="eq-089.png"/>
                    <pic:cNvPicPr/>
                  </pic:nvPicPr>
                  <pic:blipFill>
                    <a:blip r:embed="rId93"/>
                    <a:stretch>
                      <a:fillRect/>
                    </a:stretch>
                  </pic:blipFill>
                  <pic:spPr>
                    <a:xfrm>
                      <a:off x="0" y="0"/>
                      <a:ext cx="328247" cy="146617"/>
                    </a:xfrm>
                    <a:prstGeom prst="rect"/>
                  </pic:spPr>
                </pic:pic>
              </a:graphicData>
            </a:graphic>
          </wp:inline>
        </w:drawing>
      </w:r>
      <w:r>
        <w:rPr>
          <w:b w:val="0"/>
          <w:i w:val="0"/>
        </w:rPr>
        <w:t xml:space="preserve"> MWh floor and solver floor </w:t>
      </w:r>
      <w:r>
        <w:drawing>
          <wp:inline xmlns:a="http://schemas.openxmlformats.org/drawingml/2006/main" xmlns:pic="http://schemas.openxmlformats.org/drawingml/2006/picture">
            <wp:extent cx="328247" cy="146617"/>
            <wp:docPr id="130" name="Picture 130"/>
            <wp:cNvGraphicFramePr>
              <a:graphicFrameLocks noChangeAspect="1"/>
            </wp:cNvGraphicFramePr>
            <a:graphic>
              <a:graphicData uri="http://schemas.openxmlformats.org/drawingml/2006/picture">
                <pic:pic>
                  <pic:nvPicPr>
                    <pic:cNvPr id="0" name="eq-111.png"/>
                    <pic:cNvPicPr/>
                  </pic:nvPicPr>
                  <pic:blipFill>
                    <a:blip r:embed="rId114"/>
                    <a:stretch>
                      <a:fillRect/>
                    </a:stretch>
                  </pic:blipFill>
                  <pic:spPr>
                    <a:xfrm>
                      <a:off x="0" y="0"/>
                      <a:ext cx="328247" cy="146617"/>
                    </a:xfrm>
                    <a:prstGeom prst="rect"/>
                  </pic:spPr>
                </pic:pic>
              </a:graphicData>
            </a:graphic>
          </wp:inline>
        </w:drawing>
      </w:r>
      <w:r>
        <w:rPr>
          <w:b w:val="0"/>
          <w:i w:val="0"/>
        </w:rPr>
        <w:t xml:space="preserve">. The bid-cost acceptance ceiling is 1 GBP per period. Each later solve retains the preceding objective bounds. HiGHS dual simplex with presolve uses primal and dual tolerances of </w:t>
      </w:r>
      <w:r>
        <w:drawing>
          <wp:inline xmlns:a="http://schemas.openxmlformats.org/drawingml/2006/main" xmlns:pic="http://schemas.openxmlformats.org/drawingml/2006/picture">
            <wp:extent cx="328247" cy="146617"/>
            <wp:docPr id="131" name="Picture 131"/>
            <wp:cNvGraphicFramePr>
              <a:graphicFrameLocks noChangeAspect="1"/>
            </wp:cNvGraphicFramePr>
            <a:graphic>
              <a:graphicData uri="http://schemas.openxmlformats.org/drawingml/2006/picture">
                <pic:pic>
                  <pic:nvPicPr>
                    <pic:cNvPr id="0" name="eq-089.png"/>
                    <pic:cNvPicPr/>
                  </pic:nvPicPr>
                  <pic:blipFill>
                    <a:blip r:embed="rId93"/>
                    <a:stretch>
                      <a:fillRect/>
                    </a:stretch>
                  </pic:blipFill>
                  <pic:spPr>
                    <a:xfrm>
                      <a:off x="0" y="0"/>
                      <a:ext cx="328247" cy="146617"/>
                    </a:xfrm>
                    <a:prstGeom prst="rect"/>
                  </pic:spPr>
                </pic:pic>
              </a:graphicData>
            </a:graphic>
          </wp:inline>
        </w:drawing>
      </w:r>
      <w:r>
        <w:rPr>
          <w:b w:val="0"/>
          <w:i w:val="0"/>
        </w:rPr>
        <w:t xml:space="preserve">; final equality, inequality and bound violations must be at most </w:t>
      </w:r>
      <w:r>
        <w:drawing>
          <wp:inline xmlns:a="http://schemas.openxmlformats.org/drawingml/2006/main" xmlns:pic="http://schemas.openxmlformats.org/drawingml/2006/picture">
            <wp:extent cx="328247" cy="146617"/>
            <wp:docPr id="132" name="Picture 132"/>
            <wp:cNvGraphicFramePr>
              <a:graphicFrameLocks noChangeAspect="1"/>
            </wp:cNvGraphicFramePr>
            <a:graphic>
              <a:graphicData uri="http://schemas.openxmlformats.org/drawingml/2006/picture">
                <pic:pic>
                  <pic:nvPicPr>
                    <pic:cNvPr id="0" name="eq-132.png"/>
                    <pic:cNvPicPr/>
                  </pic:nvPicPr>
                  <pic:blipFill>
                    <a:blip r:embed="rId126"/>
                    <a:stretch>
                      <a:fillRect/>
                    </a:stretch>
                  </pic:blipFill>
                  <pic:spPr>
                    <a:xfrm>
                      <a:off x="0" y="0"/>
                      <a:ext cx="328247" cy="146617"/>
                    </a:xfrm>
                    <a:prstGeom prst="rect"/>
                  </pic:spPr>
                </pic:pic>
              </a:graphicData>
            </a:graphic>
          </wp:inline>
        </w:drawing>
      </w:r>
      <w:r>
        <w:rPr>
          <w:b w:val="0"/>
          <w:i w:val="0"/>
        </w:rPr>
        <w:t>.</w:t>
      </w:r>
    </w:p>
    <w:p>
      <w:pPr>
        <w:keepLines/>
        <w:spacing w:line="276" w:lineRule="auto" w:after="160"/>
      </w:pPr>
      <w:r>
        <w:rPr>
          <w:rFonts w:ascii="DejaVu Sans Mono" w:hAnsi="DejaVu Sans Mono"/>
          <w:b w:val="0"/>
          <w:i w:val="0"/>
          <w:sz w:val="17"/>
        </w:rPr>
        <w:t>for period in the half-hour chronology:</w:t>
        <w:br/>
        <w:t xml:space="preserve">    align_​zonal_​demand(...): obtain zonal demand</w:t>
        <w:br/>
        <w:t xml:space="preserve">    build_​single_​period_​problem(...): build bids and physical constraints</w:t>
        <w:br/>
        <w:t xml:space="preserve">    solve_​lexicographic(problem):</w:t>
        <w:br/>
        <w:t xml:space="preserve">        minimise primary_objective; retain primary boundary marginals</w:t>
        <w:br/>
        <w:t xml:space="preserve">        lock_​primary_​shedding(...); bound bid_​cost_​coefficients(problem)</w:t>
        <w:br/>
        <w:t xml:space="preserve">        minimise secondary_objective; retain its objective bound</w:t>
        <w:br/>
        <w:t xml:space="preserve">        minimise physical_tie_objective; retain its objective bound</w:t>
        <w:br/>
        <w:t xml:space="preserve">        minimise stable_tie_objective; validate_solution(...)</w:t>
        <w:br/>
        <w:t xml:space="preserve">    solve_​network_​free_​counterfactual(...): compute matched comparison</w:t>
        <w:br/>
        <w:t xml:space="preserve">    record actual injections, storage inventory, flows, shortage and costs</w:t>
        <w:br/>
        <w:t xml:space="preserve">    pass final_soc_mwh_by_asset to the next period</w:t>
        <w:br/>
        <w:t>return all period results</w:t>
        <w:br/>
      </w:r>
    </w:p>
    <w:p>
      <w:pPr>
        <w:keepNext/>
      </w:pPr>
      <w:r>
        <w:rPr>
          <w:b w:val="0"/>
          <w:i w:val="0"/>
        </w:rPr>
        <w:t xml:space="preserve">Boundary marginal values measure the primary objective's response to transfer capacity. </w:t>
      </w:r>
      <w:r>
        <w:rPr>
          <w:rFonts w:ascii="DejaVu Sans Mono" w:hAnsi="DejaVu Sans Mono"/>
          <w:b w:val="0"/>
          <w:i w:val="0"/>
          <w:sz w:val="17"/>
        </w:rPr>
        <w:t>boundary_​marginal_​values</w:t>
      </w:r>
      <w:r>
        <w:rPr>
          <w:b w:val="0"/>
          <w:i w:val="0"/>
        </w:rPr>
        <w:t xml:space="preserve"> reads the forward and reverse constraint-row duals before objective locks are added:</w:t>
      </w:r>
    </w:p>
    <w:p>
      <w:pPr>
        <w:spacing w:after="160"/>
        <w:jc w:val="center"/>
      </w:pPr>
      <w:r>
        <w:drawing>
          <wp:inline xmlns:a="http://schemas.openxmlformats.org/drawingml/2006/main" xmlns:pic="http://schemas.openxmlformats.org/drawingml/2006/picture">
            <wp:extent cx="4971135" cy="180560"/>
            <wp:docPr id="133" name="Picture 133"/>
            <wp:cNvGraphicFramePr>
              <a:graphicFrameLocks noChangeAspect="1"/>
            </wp:cNvGraphicFramePr>
            <a:graphic>
              <a:graphicData uri="http://schemas.openxmlformats.org/drawingml/2006/picture">
                <pic:pic>
                  <pic:nvPicPr>
                    <pic:cNvPr id="0" name="eq-133.png"/>
                    <pic:cNvPicPr/>
                  </pic:nvPicPr>
                  <pic:blipFill>
                    <a:blip r:embed="rId127"/>
                    <a:stretch>
                      <a:fillRect/>
                    </a:stretch>
                  </pic:blipFill>
                  <pic:spPr>
                    <a:xfrm>
                      <a:off x="0" y="0"/>
                      <a:ext cx="4971135" cy="180560"/>
                    </a:xfrm>
                    <a:prstGeom prst="rect"/>
                  </pic:spPr>
                </pic:pic>
              </a:graphicData>
            </a:graphic>
          </wp:inline>
        </w:drawing>
      </w:r>
    </w:p>
    <w:p>
      <w:r>
        <w:rPr>
          <w:b w:val="0"/>
          <w:i w:val="0"/>
        </w:rPr>
        <w:t>A positive boundary value corresponds to a binding forward limit and a negative value to a binding reverse limit. Where binding boundaries share a corridor, several dual allocations can represent the same optimum. The annual output also sums absolute boundary value multiplied by transferred MWh as a congestion measure.</w:t>
      </w:r>
    </w:p>
    <w:p>
      <w:pPr>
        <w:pStyle w:val="Heading2"/>
      </w:pPr>
      <w:r>
        <w:rPr>
          <w:b w:val="0"/>
          <w:i w:val="0"/>
        </w:rPr>
        <w:t>DC network dispatch</w:t>
      </w:r>
    </w:p>
    <w:p>
      <w:pPr>
        <w:keepNext/>
      </w:pPr>
      <w:r>
        <w:rPr>
          <w:b w:val="0"/>
          <w:i w:val="0"/>
        </w:rPr>
        <w:t xml:space="preserve">The DC network module jointly selects generation, storage operation and nodal voltage angles over the complete chronology. </w:t>
      </w:r>
      <w:r>
        <w:rPr>
          <w:rFonts w:ascii="DejaVu Sans Mono" w:hAnsi="DejaVu Sans Mono"/>
          <w:b w:val="0"/>
          <w:i w:val="0"/>
          <w:sz w:val="17"/>
        </w:rPr>
        <w:t>ReferenceDCNetworkPSM</w:t>
      </w:r>
      <w:r>
        <w:rPr>
          <w:b w:val="0"/>
          <w:i w:val="0"/>
        </w:rPr>
        <w:t xml:space="preserve"> builds the variable blocks </w:t>
      </w:r>
      <w:r>
        <w:rPr>
          <w:rFonts w:ascii="DejaVu Sans Mono" w:hAnsi="DejaVu Sans Mono"/>
          <w:b w:val="0"/>
          <w:i w:val="0"/>
          <w:sz w:val="17"/>
        </w:rPr>
        <w:t>generation</w:t>
      </w:r>
      <w:r>
        <w:rPr>
          <w:b w:val="0"/>
          <w:i w:val="0"/>
        </w:rPr>
        <w:t xml:space="preserve">, </w:t>
      </w:r>
      <w:r>
        <w:rPr>
          <w:rFonts w:ascii="DejaVu Sans Mono" w:hAnsi="DejaVu Sans Mono"/>
          <w:b w:val="0"/>
          <w:i w:val="0"/>
          <w:sz w:val="17"/>
        </w:rPr>
        <w:t>charge</w:t>
      </w:r>
      <w:r>
        <w:rPr>
          <w:b w:val="0"/>
          <w:i w:val="0"/>
        </w:rPr>
        <w:t xml:space="preserve">, </w:t>
      </w:r>
      <w:r>
        <w:rPr>
          <w:rFonts w:ascii="DejaVu Sans Mono" w:hAnsi="DejaVu Sans Mono"/>
          <w:b w:val="0"/>
          <w:i w:val="0"/>
          <w:sz w:val="17"/>
        </w:rPr>
        <w:t>discharge</w:t>
      </w:r>
      <w:r>
        <w:rPr>
          <w:b w:val="0"/>
          <w:i w:val="0"/>
        </w:rPr>
        <w:t xml:space="preserve">, </w:t>
      </w:r>
      <w:r>
        <w:rPr>
          <w:rFonts w:ascii="DejaVu Sans Mono" w:hAnsi="DejaVu Sans Mono"/>
          <w:b w:val="0"/>
          <w:i w:val="0"/>
          <w:sz w:val="17"/>
        </w:rPr>
        <w:t>soc</w:t>
      </w:r>
      <w:r>
        <w:rPr>
          <w:b w:val="0"/>
          <w:i w:val="0"/>
        </w:rPr>
        <w:t xml:space="preserve">, </w:t>
      </w:r>
      <w:r>
        <w:rPr>
          <w:rFonts w:ascii="DejaVu Sans Mono" w:hAnsi="DejaVu Sans Mono"/>
          <w:b w:val="0"/>
          <w:i w:val="0"/>
          <w:sz w:val="17"/>
        </w:rPr>
        <w:t>blackout</w:t>
      </w:r>
      <w:r>
        <w:rPr>
          <w:b w:val="0"/>
          <w:i w:val="0"/>
        </w:rPr>
        <w:t xml:space="preserve">, </w:t>
      </w:r>
      <w:r>
        <w:rPr>
          <w:rFonts w:ascii="DejaVu Sans Mono" w:hAnsi="DejaVu Sans Mono"/>
          <w:b w:val="0"/>
          <w:i w:val="0"/>
          <w:sz w:val="17"/>
        </w:rPr>
        <w:t>angle</w:t>
      </w:r>
      <w:r>
        <w:rPr>
          <w:b w:val="0"/>
          <w:i w:val="0"/>
        </w:rPr>
        <w:t xml:space="preserve"> and </w:t>
      </w:r>
      <w:r>
        <w:rPr>
          <w:rFonts w:ascii="DejaVu Sans Mono" w:hAnsi="DejaVu Sans Mono"/>
          <w:b w:val="0"/>
          <w:i w:val="0"/>
          <w:sz w:val="17"/>
        </w:rPr>
        <w:t>flow</w:t>
      </w:r>
      <w:r>
        <w:rPr>
          <w:b w:val="0"/>
          <w:i w:val="0"/>
        </w:rPr>
        <w:t xml:space="preserve"> in </w:t>
      </w:r>
      <w:r>
        <w:rPr>
          <w:rFonts w:ascii="DejaVu Sans Mono" w:hAnsi="DejaVu Sans Mono"/>
          <w:b w:val="0"/>
          <w:i w:val="0"/>
          <w:sz w:val="17"/>
        </w:rPr>
        <w:t>layout</w:t>
      </w:r>
      <w:r>
        <w:rPr>
          <w:b w:val="0"/>
          <w:i w:val="0"/>
        </w:rPr>
        <w:t xml:space="preserve">. Their solved values carry those names in the equations: the first five are MWh, </w:t>
      </w:r>
      <w:r>
        <w:rPr>
          <w:rFonts w:ascii="DejaVu Sans Mono" w:hAnsi="DejaVu Sans Mono"/>
          <w:b w:val="0"/>
          <w:i w:val="0"/>
          <w:sz w:val="17"/>
        </w:rPr>
        <w:t>angle</w:t>
      </w:r>
      <w:r>
        <w:rPr>
          <w:b w:val="0"/>
          <w:i w:val="0"/>
        </w:rPr>
        <w:t xml:space="preserve"> is radians and </w:t>
      </w:r>
      <w:r>
        <w:rPr>
          <w:rFonts w:ascii="DejaVu Sans Mono" w:hAnsi="DejaVu Sans Mono"/>
          <w:b w:val="0"/>
          <w:i w:val="0"/>
          <w:sz w:val="17"/>
        </w:rPr>
        <w:t>flow</w:t>
      </w:r>
      <w:r>
        <w:rPr>
          <w:b w:val="0"/>
          <w:i w:val="0"/>
        </w:rPr>
        <w:t xml:space="preserve"> is MW. Resource, storage, bus, branch and period indices are </w:t>
      </w:r>
      <w:r>
        <w:drawing>
          <wp:inline xmlns:a="http://schemas.openxmlformats.org/drawingml/2006/main" xmlns:pic="http://schemas.openxmlformats.org/drawingml/2006/picture">
            <wp:extent cx="636339" cy="147016"/>
            <wp:docPr id="134" name="Picture 134"/>
            <wp:cNvGraphicFramePr>
              <a:graphicFrameLocks noChangeAspect="1"/>
            </wp:cNvGraphicFramePr>
            <a:graphic>
              <a:graphicData uri="http://schemas.openxmlformats.org/drawingml/2006/picture">
                <pic:pic>
                  <pic:nvPicPr>
                    <pic:cNvPr id="0" name="eq-134.png"/>
                    <pic:cNvPicPr/>
                  </pic:nvPicPr>
                  <pic:blipFill>
                    <a:blip r:embed="rId128"/>
                    <a:stretch>
                      <a:fillRect/>
                    </a:stretch>
                  </pic:blipFill>
                  <pic:spPr>
                    <a:xfrm>
                      <a:off x="0" y="0"/>
                      <a:ext cx="636339" cy="147016"/>
                    </a:xfrm>
                    <a:prstGeom prst="rect"/>
                  </pic:spPr>
                </pic:pic>
              </a:graphicData>
            </a:graphic>
          </wp:inline>
        </w:drawing>
      </w:r>
      <w:r>
        <w:rPr>
          <w:b w:val="0"/>
          <w:i w:val="0"/>
        </w:rPr>
        <w:t xml:space="preserve">. </w:t>
      </w:r>
      <w:r>
        <w:rPr>
          <w:rFonts w:ascii="DejaVu Sans Mono" w:hAnsi="DejaVu Sans Mono"/>
          <w:b w:val="0"/>
          <w:i w:val="0"/>
          <w:sz w:val="17"/>
        </w:rPr>
        <w:t>marginal_costs</w:t>
      </w:r>
      <w:r>
        <w:rPr>
          <w:b w:val="0"/>
          <w:i w:val="0"/>
        </w:rPr>
        <w:t xml:space="preserve">, </w:t>
      </w:r>
      <w:r>
        <w:rPr>
          <w:rFonts w:ascii="DejaVu Sans Mono" w:hAnsi="DejaVu Sans Mono"/>
          <w:b w:val="0"/>
          <w:i w:val="0"/>
          <w:sz w:val="17"/>
        </w:rPr>
        <w:t>variable_​degradation_​gbp_​per_​mwh_​discharged</w:t>
      </w:r>
      <w:r>
        <w:rPr>
          <w:b w:val="0"/>
          <w:i w:val="0"/>
        </w:rPr>
        <w:t xml:space="preserve"> and </w:t>
      </w:r>
      <w:r>
        <w:rPr>
          <w:rFonts w:ascii="DejaVu Sans Mono" w:hAnsi="DejaVu Sans Mono"/>
          <w:b w:val="0"/>
          <w:i w:val="0"/>
          <w:sz w:val="17"/>
        </w:rPr>
        <w:t>voll_gbp_per_mwh</w:t>
      </w:r>
      <w:r>
        <w:rPr>
          <w:b w:val="0"/>
          <w:i w:val="0"/>
        </w:rPr>
        <w:t xml:space="preserve"> are GBP/MWh. With fixed assets, operating expenditure is</w:t>
      </w:r>
    </w:p>
    <w:p>
      <w:pPr>
        <w:spacing w:after="160"/>
        <w:jc w:val="center"/>
      </w:pPr>
      <w:r>
        <w:drawing>
          <wp:inline xmlns:a="http://schemas.openxmlformats.org/drawingml/2006/main" xmlns:pic="http://schemas.openxmlformats.org/drawingml/2006/picture">
            <wp:extent cx="5594299" cy="1268834"/>
            <wp:docPr id="135" name="Picture 135"/>
            <wp:cNvGraphicFramePr>
              <a:graphicFrameLocks noChangeAspect="1"/>
            </wp:cNvGraphicFramePr>
            <a:graphic>
              <a:graphicData uri="http://schemas.openxmlformats.org/drawingml/2006/picture">
                <pic:pic>
                  <pic:nvPicPr>
                    <pic:cNvPr id="0" name="eq-135.png"/>
                    <pic:cNvPicPr/>
                  </pic:nvPicPr>
                  <pic:blipFill>
                    <a:blip r:embed="rId129"/>
                    <a:stretch>
                      <a:fillRect/>
                    </a:stretch>
                  </pic:blipFill>
                  <pic:spPr>
                    <a:xfrm>
                      <a:off x="0" y="0"/>
                      <a:ext cx="5594299" cy="1268834"/>
                    </a:xfrm>
                    <a:prstGeom prst="rect"/>
                  </pic:spPr>
                </pic:pic>
              </a:graphicData>
            </a:graphic>
          </wp:inline>
        </w:drawing>
      </w:r>
    </w:p>
    <w:p>
      <w:r>
        <w:rPr>
          <w:b w:val="0"/>
          <w:i w:val="0"/>
        </w:rPr>
        <w:t xml:space="preserve">Assets mapped to several buses become independent location-specific units through </w:t>
      </w:r>
      <w:r>
        <w:rPr>
          <w:rFonts w:ascii="DejaVu Sans Mono" w:hAnsi="DejaVu Sans Mono"/>
          <w:b w:val="0"/>
          <w:i w:val="0"/>
          <w:sz w:val="17"/>
        </w:rPr>
        <w:t>expand_share_mappings</w:t>
      </w:r>
      <w:r>
        <w:rPr>
          <w:b w:val="0"/>
          <w:i w:val="0"/>
        </w:rPr>
        <w:t xml:space="preserve">. The mapping field </w:t>
      </w:r>
      <w:r>
        <w:rPr>
          <w:rFonts w:ascii="DejaVu Sans Mono" w:hAnsi="DejaVu Sans Mono"/>
          <w:b w:val="0"/>
          <w:i w:val="0"/>
          <w:sz w:val="17"/>
        </w:rPr>
        <w:t>share</w:t>
      </w:r>
      <w:r>
        <w:rPr>
          <w:b w:val="0"/>
          <w:i w:val="0"/>
        </w:rPr>
        <w:t xml:space="preserve"> sums to 1 for each asset and scales its generation capacity, storage charge and discharge power, energy capacity and initial inventory. The solver dispatches these units at their assigned buses and aggregates their outputs by original asset. VoLL reads </w:t>
      </w:r>
      <w:r>
        <w:rPr>
          <w:rFonts w:ascii="DejaVu Sans Mono" w:hAnsi="DejaVu Sans Mono"/>
          <w:b w:val="0"/>
          <w:i w:val="0"/>
          <w:sz w:val="17"/>
        </w:rPr>
        <w:t>market.voll_gbp_per_mwh</w:t>
      </w:r>
      <w:r>
        <w:rPr>
          <w:b w:val="0"/>
          <w:i w:val="0"/>
        </w:rPr>
        <w:t>, default 17,000 GBP/MWh.</w:t>
      </w:r>
    </w:p>
    <w:p>
      <w:pPr>
        <w:keepNext/>
      </w:pPr>
      <w:r>
        <w:rPr>
          <w:b w:val="0"/>
          <w:i w:val="0"/>
        </w:rPr>
        <w:t xml:space="preserve">Nodal conservation converts branch power to energy using </w:t>
      </w:r>
      <w:r>
        <w:rPr>
          <w:rFonts w:ascii="DejaVu Sans Mono" w:hAnsi="DejaVu Sans Mono"/>
          <w:b w:val="0"/>
          <w:i w:val="0"/>
          <w:sz w:val="17"/>
        </w:rPr>
        <w:t>period_hours</w:t>
      </w:r>
      <w:r>
        <w:rPr>
          <w:b w:val="0"/>
          <w:i w:val="0"/>
        </w:rPr>
        <w:t xml:space="preserve">. For units located at bus </w:t>
      </w:r>
      <w:r>
        <w:drawing>
          <wp:inline xmlns:a="http://schemas.openxmlformats.org/drawingml/2006/main" xmlns:pic="http://schemas.openxmlformats.org/drawingml/2006/picture">
            <wp:extent cx="99094" cy="74871"/>
            <wp:docPr id="136" name="Picture 136"/>
            <wp:cNvGraphicFramePr>
              <a:graphicFrameLocks noChangeAspect="1"/>
            </wp:cNvGraphicFramePr>
            <a:graphic>
              <a:graphicData uri="http://schemas.openxmlformats.org/drawingml/2006/picture">
                <pic:pic>
                  <pic:nvPicPr>
                    <pic:cNvPr id="0" name="eq-048.png"/>
                    <pic:cNvPicPr/>
                  </pic:nvPicPr>
                  <pic:blipFill>
                    <a:blip r:embed="rId58"/>
                    <a:stretch>
                      <a:fillRect/>
                    </a:stretch>
                  </pic:blipFill>
                  <pic:spPr>
                    <a:xfrm>
                      <a:off x="0" y="0"/>
                      <a:ext cx="99094" cy="74871"/>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6217920" cy="709643"/>
            <wp:docPr id="137" name="Picture 137"/>
            <wp:cNvGraphicFramePr>
              <a:graphicFrameLocks noChangeAspect="1"/>
            </wp:cNvGraphicFramePr>
            <a:graphic>
              <a:graphicData uri="http://schemas.openxmlformats.org/drawingml/2006/picture">
                <pic:pic>
                  <pic:nvPicPr>
                    <pic:cNvPr id="0" name="eq-137.png"/>
                    <pic:cNvPicPr/>
                  </pic:nvPicPr>
                  <pic:blipFill>
                    <a:blip r:embed="rId130"/>
                    <a:stretch>
                      <a:fillRect/>
                    </a:stretch>
                  </pic:blipFill>
                  <pic:spPr>
                    <a:xfrm>
                      <a:off x="0" y="0"/>
                      <a:ext cx="6217920" cy="709643"/>
                    </a:xfrm>
                    <a:prstGeom prst="rect"/>
                  </pic:spPr>
                </pic:pic>
              </a:graphicData>
            </a:graphic>
          </wp:inline>
        </w:drawing>
      </w:r>
    </w:p>
    <w:p>
      <w:pPr>
        <w:keepNext/>
      </w:pPr>
      <w:r>
        <w:rPr>
          <w:b w:val="0"/>
          <w:i w:val="0"/>
        </w:rPr>
        <w:t xml:space="preserve">Resource bounds multiply </w:t>
      </w:r>
      <w:r>
        <w:rPr>
          <w:rFonts w:ascii="DejaVu Sans Mono" w:hAnsi="DejaVu Sans Mono"/>
          <w:b w:val="0"/>
          <w:i w:val="0"/>
          <w:sz w:val="17"/>
        </w:rPr>
        <w:t>capacity_mw</w:t>
      </w:r>
      <w:r>
        <w:rPr>
          <w:b w:val="0"/>
          <w:i w:val="0"/>
        </w:rPr>
        <w:t xml:space="preserve">, </w:t>
      </w:r>
      <w:r>
        <w:rPr>
          <w:rFonts w:ascii="DejaVu Sans Mono" w:hAnsi="DejaVu Sans Mono"/>
          <w:b w:val="0"/>
          <w:i w:val="0"/>
          <w:sz w:val="17"/>
        </w:rPr>
        <w:t>share</w:t>
      </w:r>
      <w:r>
        <w:rPr>
          <w:b w:val="0"/>
          <w:i w:val="0"/>
        </w:rPr>
        <w:t xml:space="preserve">, </w:t>
      </w:r>
      <w:r>
        <w:rPr>
          <w:rFonts w:ascii="DejaVu Sans Mono" w:hAnsi="DejaVu Sans Mono"/>
          <w:b w:val="0"/>
          <w:i w:val="0"/>
          <w:sz w:val="17"/>
        </w:rPr>
        <w:t>availability</w:t>
      </w:r>
      <w:r>
        <w:rPr>
          <w:b w:val="0"/>
          <w:i w:val="0"/>
        </w:rPr>
        <w:t xml:space="preserve"> and </w:t>
      </w:r>
      <w:r>
        <w:rPr>
          <w:rFonts w:ascii="DejaVu Sans Mono" w:hAnsi="DejaVu Sans Mono"/>
          <w:b w:val="0"/>
          <w:i w:val="0"/>
          <w:sz w:val="17"/>
        </w:rPr>
        <w:t>period_hours</w:t>
      </w:r>
      <w:r>
        <w:rPr>
          <w:b w:val="0"/>
          <w:i w:val="0"/>
        </w:rPr>
        <w:t>. Storage obeys the charging, discharging and inventory constraints in Chapter 8 with the same mapping share; its transition is</w:t>
      </w:r>
    </w:p>
    <w:p>
      <w:pPr>
        <w:spacing w:after="160"/>
        <w:jc w:val="center"/>
      </w:pPr>
      <w:r>
        <w:drawing>
          <wp:inline xmlns:a="http://schemas.openxmlformats.org/drawingml/2006/main" xmlns:pic="http://schemas.openxmlformats.org/drawingml/2006/picture">
            <wp:extent cx="3460394" cy="441120"/>
            <wp:docPr id="138" name="Picture 138"/>
            <wp:cNvGraphicFramePr>
              <a:graphicFrameLocks noChangeAspect="1"/>
            </wp:cNvGraphicFramePr>
            <a:graphic>
              <a:graphicData uri="http://schemas.openxmlformats.org/drawingml/2006/picture">
                <pic:pic>
                  <pic:nvPicPr>
                    <pic:cNvPr id="0" name="eq-138.png"/>
                    <pic:cNvPicPr/>
                  </pic:nvPicPr>
                  <pic:blipFill>
                    <a:blip r:embed="rId131"/>
                    <a:stretch>
                      <a:fillRect/>
                    </a:stretch>
                  </pic:blipFill>
                  <pic:spPr>
                    <a:xfrm>
                      <a:off x="0" y="0"/>
                      <a:ext cx="3460394" cy="441120"/>
                    </a:xfrm>
                    <a:prstGeom prst="rect"/>
                  </pic:spPr>
                </pic:pic>
              </a:graphicData>
            </a:graphic>
          </wp:inline>
        </w:drawing>
      </w:r>
    </w:p>
    <w:p>
      <w:r>
        <w:rPr>
          <w:b w:val="0"/>
          <w:i w:val="0"/>
        </w:rPr>
        <w:t xml:space="preserve">The terminal rule is free, cyclic at initial inventory, or fixed at a declared target. </w:t>
      </w:r>
      <w:r>
        <w:rPr>
          <w:rFonts w:ascii="DejaVu Sans Mono" w:hAnsi="DejaVu Sans Mono"/>
          <w:b w:val="0"/>
          <w:i w:val="0"/>
          <w:sz w:val="17"/>
        </w:rPr>
        <w:t>allow_blackout</w:t>
      </w:r>
      <w:r>
        <w:rPr>
          <w:b w:val="0"/>
          <w:i w:val="0"/>
        </w:rPr>
        <w:t xml:space="preserve"> bounds shortage between zero and bus demand when enabled and fixes it at zero otherwise. Availability lies in </w:t>
      </w:r>
      <w:r>
        <w:drawing>
          <wp:inline xmlns:a="http://schemas.openxmlformats.org/drawingml/2006/main" xmlns:pic="http://schemas.openxmlformats.org/drawingml/2006/picture">
            <wp:extent cx="330511" cy="164161"/>
            <wp:docPr id="139" name="Picture 139"/>
            <wp:cNvGraphicFramePr>
              <a:graphicFrameLocks noChangeAspect="1"/>
            </wp:cNvGraphicFramePr>
            <a:graphic>
              <a:graphicData uri="http://schemas.openxmlformats.org/drawingml/2006/picture">
                <pic:pic>
                  <pic:nvPicPr>
                    <pic:cNvPr id="0" name="eq-139.png"/>
                    <pic:cNvPicPr/>
                  </pic:nvPicPr>
                  <pic:blipFill>
                    <a:blip r:embed="rId132"/>
                    <a:stretch>
                      <a:fillRect/>
                    </a:stretch>
                  </pic:blipFill>
                  <pic:spPr>
                    <a:xfrm>
                      <a:off x="0" y="0"/>
                      <a:ext cx="330511" cy="164161"/>
                    </a:xfrm>
                    <a:prstGeom prst="rect"/>
                  </pic:spPr>
                </pic:pic>
              </a:graphicData>
            </a:graphic>
          </wp:inline>
        </w:drawing>
      </w:r>
      <w:r>
        <w:rPr>
          <w:b w:val="0"/>
          <w:i w:val="0"/>
        </w:rPr>
        <w:t>, and marginal resource costs are nonnegative.</w:t>
      </w:r>
    </w:p>
    <w:p>
      <w:pPr>
        <w:keepNext/>
      </w:pPr>
      <w:r>
        <w:rPr>
          <w:b w:val="0"/>
          <w:i w:val="0"/>
        </w:rPr>
        <w:t xml:space="preserve">AC lines and transformers use the declared equivalent reactance and angle difference. </w:t>
      </w:r>
      <w:r>
        <w:rPr>
          <w:rFonts w:ascii="DejaVu Sans Mono" w:hAnsi="DejaVu Sans Mono"/>
          <w:b w:val="0"/>
          <w:i w:val="0"/>
          <w:sz w:val="17"/>
        </w:rPr>
        <w:t>base_mva</w:t>
      </w:r>
      <w:r>
        <w:rPr>
          <w:b w:val="0"/>
          <w:i w:val="0"/>
        </w:rPr>
        <w:t xml:space="preserve"> defaults to 100 MVA, </w:t>
      </w:r>
      <w:r>
        <w:rPr>
          <w:rFonts w:ascii="DejaVu Sans Mono" w:hAnsi="DejaVu Sans Mono"/>
          <w:b w:val="0"/>
          <w:i w:val="0"/>
          <w:sz w:val="17"/>
        </w:rPr>
        <w:t>tap</w:t>
      </w:r>
      <w:r>
        <w:rPr>
          <w:b w:val="0"/>
          <w:i w:val="0"/>
        </w:rPr>
        <w:t xml:space="preserve"> to 1, and </w:t>
      </w:r>
      <w:r>
        <w:rPr>
          <w:rFonts w:ascii="DejaVu Sans Mono" w:hAnsi="DejaVu Sans Mono"/>
          <w:b w:val="0"/>
          <w:i w:val="0"/>
          <w:sz w:val="17"/>
        </w:rPr>
        <w:t>phase</w:t>
      </w:r>
      <w:r>
        <w:rPr>
          <w:b w:val="0"/>
          <w:i w:val="0"/>
        </w:rPr>
        <w:t xml:space="preserve"> converts </w:t>
      </w:r>
      <w:r>
        <w:rPr>
          <w:rFonts w:ascii="DejaVu Sans Mono" w:hAnsi="DejaVu Sans Mono"/>
          <w:b w:val="0"/>
          <w:i w:val="0"/>
          <w:sz w:val="17"/>
        </w:rPr>
        <w:t>phase_shift_degrees</w:t>
      </w:r>
      <w:r>
        <w:rPr>
          <w:b w:val="0"/>
          <w:i w:val="0"/>
        </w:rPr>
        <w:t xml:space="preserve"> to radians:</w:t>
      </w:r>
    </w:p>
    <w:p>
      <w:pPr>
        <w:spacing w:after="160"/>
        <w:jc w:val="center"/>
      </w:pPr>
      <w:r>
        <w:drawing>
          <wp:inline xmlns:a="http://schemas.openxmlformats.org/drawingml/2006/main" xmlns:pic="http://schemas.openxmlformats.org/drawingml/2006/picture">
            <wp:extent cx="5112867" cy="870810"/>
            <wp:docPr id="140" name="Picture 140"/>
            <wp:cNvGraphicFramePr>
              <a:graphicFrameLocks noChangeAspect="1"/>
            </wp:cNvGraphicFramePr>
            <a:graphic>
              <a:graphicData uri="http://schemas.openxmlformats.org/drawingml/2006/picture">
                <pic:pic>
                  <pic:nvPicPr>
                    <pic:cNvPr id="0" name="eq-140.png"/>
                    <pic:cNvPicPr/>
                  </pic:nvPicPr>
                  <pic:blipFill>
                    <a:blip r:embed="rId133"/>
                    <a:stretch>
                      <a:fillRect/>
                    </a:stretch>
                  </pic:blipFill>
                  <pic:spPr>
                    <a:xfrm>
                      <a:off x="0" y="0"/>
                      <a:ext cx="5112867" cy="870810"/>
                    </a:xfrm>
                    <a:prstGeom prst="rect"/>
                  </pic:spPr>
                </pic:pic>
              </a:graphicData>
            </a:graphic>
          </wp:inline>
        </w:drawing>
      </w:r>
    </w:p>
    <w:p>
      <w:r>
        <w:rPr>
          <w:b w:val="0"/>
          <w:i w:val="0"/>
        </w:rPr>
        <w:t xml:space="preserve">Circuit count scales thermal capacity; the declared equivalent reactance sets the angle equation. Each connected island has one reference bus at zero angle, with other angles bounded by </w:t>
      </w:r>
      <w:r>
        <w:drawing>
          <wp:inline xmlns:a="http://schemas.openxmlformats.org/drawingml/2006/main" xmlns:pic="http://schemas.openxmlformats.org/drawingml/2006/picture">
            <wp:extent cx="482184" cy="164381"/>
            <wp:docPr id="141" name="Picture 141"/>
            <wp:cNvGraphicFramePr>
              <a:graphicFrameLocks noChangeAspect="1"/>
            </wp:cNvGraphicFramePr>
            <a:graphic>
              <a:graphicData uri="http://schemas.openxmlformats.org/drawingml/2006/picture">
                <pic:pic>
                  <pic:nvPicPr>
                    <pic:cNvPr id="0" name="eq-141.png"/>
                    <pic:cNvPicPr/>
                  </pic:nvPicPr>
                  <pic:blipFill>
                    <a:blip r:embed="rId134"/>
                    <a:stretch>
                      <a:fillRect/>
                    </a:stretch>
                  </pic:blipFill>
                  <pic:spPr>
                    <a:xfrm>
                      <a:off x="0" y="0"/>
                      <a:ext cx="482184" cy="164381"/>
                    </a:xfrm>
                    <a:prstGeom prst="rect"/>
                  </pic:spPr>
                </pic:pic>
              </a:graphicData>
            </a:graphic>
          </wp:inline>
        </w:drawing>
      </w:r>
      <w:r>
        <w:rPr>
          <w:b w:val="0"/>
          <w:i w:val="0"/>
        </w:rPr>
        <w:t>. Out-of-service branches have zero flow. DC links enter nodal balance as controllable flows within their declared bounds.</w:t>
      </w:r>
    </w:p>
    <w:p>
      <w:r>
        <w:rPr>
          <w:b w:val="0"/>
          <w:i w:val="0"/>
        </w:rPr>
        <w:t xml:space="preserve">HiGHS solves all periods in one linear programme with primal and dual tolerances of </w:t>
      </w:r>
      <w:r>
        <w:drawing>
          <wp:inline xmlns:a="http://schemas.openxmlformats.org/drawingml/2006/main" xmlns:pic="http://schemas.openxmlformats.org/drawingml/2006/picture">
            <wp:extent cx="328247" cy="146617"/>
            <wp:docPr id="142" name="Picture 142"/>
            <wp:cNvGraphicFramePr>
              <a:graphicFrameLocks noChangeAspect="1"/>
            </wp:cNvGraphicFramePr>
            <a:graphic>
              <a:graphicData uri="http://schemas.openxmlformats.org/drawingml/2006/picture">
                <pic:pic>
                  <pic:nvPicPr>
                    <pic:cNvPr id="0" name="eq-111.png"/>
                    <pic:cNvPicPr/>
                  </pic:nvPicPr>
                  <pic:blipFill>
                    <a:blip r:embed="rId114"/>
                    <a:stretch>
                      <a:fillRect/>
                    </a:stretch>
                  </pic:blipFill>
                  <pic:spPr>
                    <a:xfrm>
                      <a:off x="0" y="0"/>
                      <a:ext cx="328247" cy="146617"/>
                    </a:xfrm>
                    <a:prstGeom prst="rect"/>
                  </pic:spPr>
                </pic:pic>
              </a:graphicData>
            </a:graphic>
          </wp:inline>
        </w:drawing>
      </w:r>
      <w:r>
        <w:rPr>
          <w:b w:val="0"/>
          <w:i w:val="0"/>
        </w:rPr>
        <w:t xml:space="preserve">. Completion requires an optimal solver status and an equality-residual limit of </w:t>
      </w:r>
      <w:r>
        <w:drawing>
          <wp:inline xmlns:a="http://schemas.openxmlformats.org/drawingml/2006/main" xmlns:pic="http://schemas.openxmlformats.org/drawingml/2006/picture">
            <wp:extent cx="328247" cy="146617"/>
            <wp:docPr id="143" name="Picture 143"/>
            <wp:cNvGraphicFramePr>
              <a:graphicFrameLocks noChangeAspect="1"/>
            </wp:cNvGraphicFramePr>
            <a:graphic>
              <a:graphicData uri="http://schemas.openxmlformats.org/drawingml/2006/picture">
                <pic:pic>
                  <pic:nvPicPr>
                    <pic:cNvPr id="0" name="eq-132.png"/>
                    <pic:cNvPicPr/>
                  </pic:nvPicPr>
                  <pic:blipFill>
                    <a:blip r:embed="rId126"/>
                    <a:stretch>
                      <a:fillRect/>
                    </a:stretch>
                  </pic:blipFill>
                  <pic:spPr>
                    <a:xfrm>
                      <a:off x="0" y="0"/>
                      <a:ext cx="328247" cy="146617"/>
                    </a:xfrm>
                    <a:prstGeom prst="rect"/>
                  </pic:spPr>
                </pic:pic>
              </a:graphicData>
            </a:graphic>
          </wp:inline>
        </w:drawing>
      </w:r>
      <w:r>
        <w:rPr>
          <w:b w:val="0"/>
          <w:i w:val="0"/>
        </w:rPr>
        <w:t>. Nodal energy-balance duals provide marginal operating prices in GBP/MWh; the displayed system price is demand weighted. The output contains period dispatch, storage inventory, nodal prices and branch flows for the complete horizon.</w:t>
      </w:r>
    </w:p>
    <w:p>
      <w:pPr>
        <w:pStyle w:val="Heading2"/>
      </w:pPr>
      <w:r>
        <w:rPr>
          <w:b w:val="0"/>
          <w:i w:val="0"/>
        </w:rPr>
        <w:t>AC feasibility calculation</w:t>
      </w:r>
    </w:p>
    <w:p>
      <w:r>
        <w:rPr>
          <w:b w:val="0"/>
          <w:i w:val="0"/>
        </w:rPr>
        <w:t>The AC module calculates steady-state power flow for a given active-power schedule. Inputs contain active and reactive demand, generator active and reactive limits, voltage setpoints, branch impedances and charging susceptance, fixed taps and phase shifts, voltage bounds and MVA ratings. Each connected island has one slack balancing asset; PV and slack buses require generation, with a common voltage setpoint for generators at one bus. Storage follows its supplied active charging and discharging schedule. PQ buses solve for voltage magnitude and angle from specified active and reactive injections; PV buses hold voltage magnitude and active power; each slack bus holds its voltage magnitude and zero angle while balancing the island.</w:t>
      </w:r>
    </w:p>
    <w:p>
      <w:pPr>
        <w:keepNext/>
      </w:pPr>
      <w:r>
        <w:rPr>
          <w:b w:val="0"/>
          <w:i w:val="0"/>
        </w:rPr>
        <w:t xml:space="preserve">Nodal complex injection follows the solved voltage and nodal admittance matrix. </w:t>
      </w:r>
      <w:r>
        <w:rPr>
          <w:rFonts w:ascii="DejaVu Sans Mono" w:hAnsi="DejaVu Sans Mono"/>
          <w:b w:val="0"/>
          <w:i w:val="0"/>
          <w:sz w:val="17"/>
        </w:rPr>
        <w:t>vm</w:t>
      </w:r>
      <w:r>
        <w:rPr>
          <w:b w:val="0"/>
          <w:i w:val="0"/>
        </w:rPr>
        <w:t xml:space="preserve"> is per-unit voltage magnitude, </w:t>
      </w:r>
      <w:r>
        <w:rPr>
          <w:rFonts w:ascii="DejaVu Sans Mono" w:hAnsi="DejaVu Sans Mono"/>
          <w:b w:val="0"/>
          <w:i w:val="0"/>
          <w:sz w:val="17"/>
        </w:rPr>
        <w:t>theta</w:t>
      </w:r>
      <w:r>
        <w:rPr>
          <w:b w:val="0"/>
          <w:i w:val="0"/>
        </w:rPr>
        <w:t xml:space="preserve"> is radians, </w:t>
      </w:r>
      <w:r>
        <w:rPr>
          <w:rFonts w:ascii="DejaVu Sans Mono" w:hAnsi="DejaVu Sans Mono"/>
          <w:b w:val="0"/>
          <w:i w:val="0"/>
          <w:sz w:val="17"/>
        </w:rPr>
        <w:t>voltage</w:t>
      </w:r>
      <w:r>
        <w:rPr>
          <w:b w:val="0"/>
          <w:i w:val="0"/>
        </w:rPr>
        <w:t xml:space="preserve"> is complex per-unit voltage, and </w:t>
      </w:r>
      <w:r>
        <w:rPr>
          <w:rFonts w:ascii="DejaVu Sans Mono" w:hAnsi="DejaVu Sans Mono"/>
          <w:b w:val="0"/>
          <w:i w:val="0"/>
          <w:sz w:val="17"/>
        </w:rPr>
        <w:t>injection</w:t>
      </w:r>
      <w:r>
        <w:rPr>
          <w:b w:val="0"/>
          <w:i w:val="0"/>
        </w:rPr>
        <w:t xml:space="preserve"> contains MW and Mvar. </w:t>
      </w:r>
      <w:r>
        <w:rPr>
          <w:rFonts w:ascii="DejaVu Sans Mono" w:hAnsi="DejaVu Sans Mono"/>
          <w:b w:val="0"/>
          <w:i w:val="0"/>
          <w:sz w:val="17"/>
        </w:rPr>
        <w:t>ybus</w:t>
      </w:r>
      <w:r>
        <w:rPr>
          <w:b w:val="0"/>
          <w:i w:val="0"/>
        </w:rPr>
        <w:t xml:space="preserve"> is per-unit admittance on the </w:t>
      </w:r>
      <w:r>
        <w:rPr>
          <w:rFonts w:ascii="DejaVu Sans Mono" w:hAnsi="DejaVu Sans Mono"/>
          <w:b w:val="0"/>
          <w:i w:val="0"/>
          <w:sz w:val="17"/>
        </w:rPr>
        <w:t>base_mva</w:t>
      </w:r>
      <w:r>
        <w:rPr>
          <w:b w:val="0"/>
          <w:i w:val="0"/>
        </w:rPr>
        <w:t xml:space="preserve"> base, and </w:t>
      </w:r>
      <w:r>
        <w:drawing>
          <wp:inline xmlns:a="http://schemas.openxmlformats.org/drawingml/2006/main" xmlns:pic="http://schemas.openxmlformats.org/drawingml/2006/picture">
            <wp:extent cx="571639" cy="170835"/>
            <wp:docPr id="144" name="Picture 144"/>
            <wp:cNvGraphicFramePr>
              <a:graphicFrameLocks noChangeAspect="1"/>
            </wp:cNvGraphicFramePr>
            <a:graphic>
              <a:graphicData uri="http://schemas.openxmlformats.org/drawingml/2006/picture">
                <pic:pic>
                  <pic:nvPicPr>
                    <pic:cNvPr id="0" name="eq-144.png"/>
                    <pic:cNvPicPr/>
                  </pic:nvPicPr>
                  <pic:blipFill>
                    <a:blip r:embed="rId135"/>
                    <a:stretch>
                      <a:fillRect/>
                    </a:stretch>
                  </pic:blipFill>
                  <pic:spPr>
                    <a:xfrm>
                      <a:off x="0" y="0"/>
                      <a:ext cx="571639" cy="170835"/>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4233062" cy="667416"/>
            <wp:docPr id="145" name="Picture 145"/>
            <wp:cNvGraphicFramePr>
              <a:graphicFrameLocks noChangeAspect="1"/>
            </wp:cNvGraphicFramePr>
            <a:graphic>
              <a:graphicData uri="http://schemas.openxmlformats.org/drawingml/2006/picture">
                <pic:pic>
                  <pic:nvPicPr>
                    <pic:cNvPr id="0" name="eq-145.png"/>
                    <pic:cNvPicPr/>
                  </pic:nvPicPr>
                  <pic:blipFill>
                    <a:blip r:embed="rId136"/>
                    <a:stretch>
                      <a:fillRect/>
                    </a:stretch>
                  </pic:blipFill>
                  <pic:spPr>
                    <a:xfrm>
                      <a:off x="0" y="0"/>
                      <a:ext cx="4233062" cy="667416"/>
                    </a:xfrm>
                    <a:prstGeom prst="rect"/>
                  </pic:spPr>
                </pic:pic>
              </a:graphicData>
            </a:graphic>
          </wp:inline>
        </w:drawing>
      </w:r>
    </w:p>
    <w:p>
      <w:pPr>
        <w:keepNext/>
      </w:pPr>
      <w:r>
        <w:rPr>
          <w:b w:val="0"/>
          <w:i w:val="0"/>
        </w:rPr>
        <w:t xml:space="preserve">Each branch uses a π impedance representation. </w:t>
      </w:r>
      <w:r>
        <w:rPr>
          <w:rFonts w:ascii="DejaVu Sans Mono" w:hAnsi="DejaVu Sans Mono"/>
          <w:b w:val="0"/>
          <w:i w:val="0"/>
          <w:sz w:val="17"/>
        </w:rPr>
        <w:t>_ybus</w:t>
      </w:r>
      <w:r>
        <w:rPr>
          <w:b w:val="0"/>
          <w:i w:val="0"/>
        </w:rPr>
        <w:t xml:space="preserve"> computes </w:t>
      </w:r>
      <w:r>
        <w:rPr>
          <w:rFonts w:ascii="DejaVu Sans Mono" w:hAnsi="DejaVu Sans Mono"/>
          <w:b w:val="0"/>
          <w:i w:val="0"/>
          <w:sz w:val="17"/>
        </w:rPr>
        <w:t>series</w:t>
      </w:r>
      <w:r>
        <w:rPr>
          <w:b w:val="0"/>
          <w:i w:val="0"/>
        </w:rPr>
        <w:t xml:space="preserve"> as the reciprocal of </w:t>
      </w:r>
      <w:r>
        <w:rPr>
          <w:rFonts w:ascii="DejaVu Sans Mono" w:hAnsi="DejaVu Sans Mono"/>
          <w:b w:val="0"/>
          <w:i w:val="0"/>
          <w:sz w:val="17"/>
        </w:rPr>
        <w:t>resistance_pu</w:t>
      </w:r>
      <w:r>
        <w:rPr>
          <w:b w:val="0"/>
          <w:i w:val="0"/>
        </w:rPr>
        <w:t xml:space="preserve"> plus </w:t>
      </w:r>
      <w:r>
        <w:drawing>
          <wp:inline xmlns:a="http://schemas.openxmlformats.org/drawingml/2006/main" xmlns:pic="http://schemas.openxmlformats.org/drawingml/2006/picture">
            <wp:extent cx="68059" cy="142704"/>
            <wp:docPr id="146" name="Picture 146"/>
            <wp:cNvGraphicFramePr>
              <a:graphicFrameLocks noChangeAspect="1"/>
            </wp:cNvGraphicFramePr>
            <a:graphic>
              <a:graphicData uri="http://schemas.openxmlformats.org/drawingml/2006/picture">
                <pic:pic>
                  <pic:nvPicPr>
                    <pic:cNvPr id="0" name="eq-041.png"/>
                    <pic:cNvPicPr/>
                  </pic:nvPicPr>
                  <pic:blipFill>
                    <a:blip r:embed="rId51"/>
                    <a:stretch>
                      <a:fillRect/>
                    </a:stretch>
                  </pic:blipFill>
                  <pic:spPr>
                    <a:xfrm>
                      <a:off x="0" y="0"/>
                      <a:ext cx="68059" cy="142704"/>
                    </a:xfrm>
                    <a:prstGeom prst="rect"/>
                  </pic:spPr>
                </pic:pic>
              </a:graphicData>
            </a:graphic>
          </wp:inline>
        </w:drawing>
      </w:r>
      <w:r>
        <w:rPr>
          <w:b w:val="0"/>
          <w:i w:val="0"/>
        </w:rPr>
        <w:t xml:space="preserve"> times </w:t>
      </w:r>
      <w:r>
        <w:rPr>
          <w:rFonts w:ascii="DejaVu Sans Mono" w:hAnsi="DejaVu Sans Mono"/>
          <w:b w:val="0"/>
          <w:i w:val="0"/>
          <w:sz w:val="17"/>
        </w:rPr>
        <w:t>reactance_pu</w:t>
      </w:r>
      <w:r>
        <w:rPr>
          <w:b w:val="0"/>
          <w:i w:val="0"/>
        </w:rPr>
        <w:t xml:space="preserve">; </w:t>
      </w:r>
      <w:r>
        <w:rPr>
          <w:rFonts w:ascii="DejaVu Sans Mono" w:hAnsi="DejaVu Sans Mono"/>
          <w:b w:val="0"/>
          <w:i w:val="0"/>
          <w:sz w:val="17"/>
        </w:rPr>
        <w:t>charging</w:t>
      </w:r>
      <w:r>
        <w:rPr>
          <w:b w:val="0"/>
          <w:i w:val="0"/>
        </w:rPr>
        <w:t xml:space="preserve"> is half the imaginary charging susceptance; and </w:t>
      </w:r>
      <w:r>
        <w:rPr>
          <w:rFonts w:ascii="DejaVu Sans Mono" w:hAnsi="DejaVu Sans Mono"/>
          <w:b w:val="0"/>
          <w:i w:val="0"/>
          <w:sz w:val="17"/>
        </w:rPr>
        <w:t>tap</w:t>
      </w:r>
      <w:r>
        <w:rPr>
          <w:b w:val="0"/>
          <w:i w:val="0"/>
        </w:rPr>
        <w:t xml:space="preserve"> is the tap ratio multiplied by the complex phase-shift factor. The terminal admittances are</w:t>
      </w:r>
    </w:p>
    <w:p>
      <w:pPr>
        <w:spacing w:after="160"/>
        <w:jc w:val="center"/>
      </w:pPr>
      <w:r>
        <w:drawing>
          <wp:inline xmlns:a="http://schemas.openxmlformats.org/drawingml/2006/main" xmlns:pic="http://schemas.openxmlformats.org/drawingml/2006/picture">
            <wp:extent cx="3124352" cy="674238"/>
            <wp:docPr id="147" name="Picture 147"/>
            <wp:cNvGraphicFramePr>
              <a:graphicFrameLocks noChangeAspect="1"/>
            </wp:cNvGraphicFramePr>
            <a:graphic>
              <a:graphicData uri="http://schemas.openxmlformats.org/drawingml/2006/picture">
                <pic:pic>
                  <pic:nvPicPr>
                    <pic:cNvPr id="0" name="eq-147.png"/>
                    <pic:cNvPicPr/>
                  </pic:nvPicPr>
                  <pic:blipFill>
                    <a:blip r:embed="rId137"/>
                    <a:stretch>
                      <a:fillRect/>
                    </a:stretch>
                  </pic:blipFill>
                  <pic:spPr>
                    <a:xfrm>
                      <a:off x="0" y="0"/>
                      <a:ext cx="3124352" cy="674238"/>
                    </a:xfrm>
                    <a:prstGeom prst="rect"/>
                  </pic:spPr>
                </pic:pic>
              </a:graphicData>
            </a:graphic>
          </wp:inline>
        </w:drawing>
      </w:r>
    </w:p>
    <w:p>
      <w:pPr>
        <w:keepNext/>
      </w:pPr>
      <w:r>
        <w:rPr>
          <w:b w:val="0"/>
          <w:i w:val="0"/>
        </w:rPr>
        <w:t xml:space="preserve">The solver fits active balance at non-slack buses and reactive balance at PQ buses, holding PV and slack voltage magnitudes fixed. The slack asset supplies residual active power and network losses. Nodal reactive generation is checked against the sum of generator limits at that bus. Complex powers </w:t>
      </w:r>
      <w:r>
        <w:rPr>
          <w:rFonts w:ascii="DejaVu Sans Mono" w:hAnsi="DejaVu Sans Mono"/>
          <w:b w:val="0"/>
          <w:i w:val="0"/>
          <w:sz w:val="17"/>
        </w:rPr>
        <w:t>s_from</w:t>
      </w:r>
      <w:r>
        <w:rPr>
          <w:b w:val="0"/>
          <w:i w:val="0"/>
        </w:rPr>
        <w:t xml:space="preserve"> and </w:t>
      </w:r>
      <w:r>
        <w:rPr>
          <w:rFonts w:ascii="DejaVu Sans Mono" w:hAnsi="DejaVu Sans Mono"/>
          <w:b w:val="0"/>
          <w:i w:val="0"/>
          <w:sz w:val="17"/>
        </w:rPr>
        <w:t>s_to</w:t>
      </w:r>
      <w:r>
        <w:rPr>
          <w:b w:val="0"/>
          <w:i w:val="0"/>
        </w:rPr>
        <w:t xml:space="preserve"> contain MW and Mvar; </w:t>
      </w:r>
      <w:r>
        <w:rPr>
          <w:rFonts w:ascii="DejaVu Sans Mono" w:hAnsi="DejaVu Sans Mono"/>
          <w:b w:val="0"/>
          <w:i w:val="0"/>
          <w:sz w:val="17"/>
        </w:rPr>
        <w:t>losses</w:t>
      </w:r>
      <w:r>
        <w:rPr>
          <w:b w:val="0"/>
          <w:i w:val="0"/>
        </w:rPr>
        <w:t xml:space="preserve"> is MW. They use the declared endpoints </w:t>
      </w:r>
      <w:r>
        <w:drawing>
          <wp:inline xmlns:a="http://schemas.openxmlformats.org/drawingml/2006/main" xmlns:pic="http://schemas.openxmlformats.org/drawingml/2006/picture">
            <wp:extent cx="223967" cy="151507"/>
            <wp:docPr id="148" name="Picture 148"/>
            <wp:cNvGraphicFramePr>
              <a:graphicFrameLocks noChangeAspect="1"/>
            </wp:cNvGraphicFramePr>
            <a:graphic>
              <a:graphicData uri="http://schemas.openxmlformats.org/drawingml/2006/picture">
                <pic:pic>
                  <pic:nvPicPr>
                    <pic:cNvPr id="0" name="eq-148.png"/>
                    <pic:cNvPicPr/>
                  </pic:nvPicPr>
                  <pic:blipFill>
                    <a:blip r:embed="rId138"/>
                    <a:stretch>
                      <a:fillRect/>
                    </a:stretch>
                  </pic:blipFill>
                  <pic:spPr>
                    <a:xfrm>
                      <a:off x="0" y="0"/>
                      <a:ext cx="223967" cy="151507"/>
                    </a:xfrm>
                    <a:prstGeom prst="rect"/>
                  </pic:spPr>
                </pic:pic>
              </a:graphicData>
            </a:graphic>
          </wp:inline>
        </w:drawing>
      </w:r>
      <w:r>
        <w:rPr>
          <w:b w:val="0"/>
          <w:i w:val="0"/>
        </w:rPr>
        <w:t>:</w:t>
      </w:r>
    </w:p>
    <w:p>
      <w:pPr>
        <w:spacing w:after="160"/>
        <w:jc w:val="center"/>
      </w:pPr>
      <w:r>
        <w:drawing>
          <wp:inline xmlns:a="http://schemas.openxmlformats.org/drawingml/2006/main" xmlns:pic="http://schemas.openxmlformats.org/drawingml/2006/picture">
            <wp:extent cx="4493437" cy="761096"/>
            <wp:docPr id="149" name="Picture 149"/>
            <wp:cNvGraphicFramePr>
              <a:graphicFrameLocks noChangeAspect="1"/>
            </wp:cNvGraphicFramePr>
            <a:graphic>
              <a:graphicData uri="http://schemas.openxmlformats.org/drawingml/2006/picture">
                <pic:pic>
                  <pic:nvPicPr>
                    <pic:cNvPr id="0" name="eq-149.png"/>
                    <pic:cNvPicPr/>
                  </pic:nvPicPr>
                  <pic:blipFill>
                    <a:blip r:embed="rId139"/>
                    <a:stretch>
                      <a:fillRect/>
                    </a:stretch>
                  </pic:blipFill>
                  <pic:spPr>
                    <a:xfrm>
                      <a:off x="0" y="0"/>
                      <a:ext cx="4493437" cy="761096"/>
                    </a:xfrm>
                    <a:prstGeom prst="rect"/>
                  </pic:spPr>
                </pic:pic>
              </a:graphicData>
            </a:graphic>
          </wp:inline>
        </w:drawing>
      </w:r>
    </w:p>
    <w:p>
      <w:r>
        <w:rPr>
          <w:b w:val="0"/>
          <w:i w:val="0"/>
        </w:rPr>
        <w:t xml:space="preserve">Apparent power at both terminals is limited by </w:t>
      </w:r>
      <w:r>
        <w:rPr>
          <w:rFonts w:ascii="DejaVu Sans Mono" w:hAnsi="DejaVu Sans Mono"/>
          <w:b w:val="0"/>
          <w:i w:val="0"/>
          <w:sz w:val="17"/>
        </w:rPr>
        <w:t>apparent_​power_​rating_​mva</w:t>
      </w:r>
      <w:r>
        <w:rPr>
          <w:b w:val="0"/>
          <w:i w:val="0"/>
        </w:rPr>
        <w:t xml:space="preserve"> times </w:t>
      </w:r>
      <w:r>
        <w:rPr>
          <w:rFonts w:ascii="DejaVu Sans Mono" w:hAnsi="DejaVu Sans Mono"/>
          <w:b w:val="0"/>
          <w:i w:val="0"/>
          <w:sz w:val="17"/>
        </w:rPr>
        <w:t>circuits</w:t>
      </w:r>
      <w:r>
        <w:rPr>
          <w:b w:val="0"/>
          <w:i w:val="0"/>
        </w:rPr>
        <w:t>. Every in-service branch enters the admittance matrix with its declared impedance. Topology and device settings remain fixed.</w:t>
      </w:r>
    </w:p>
    <w:p>
      <w:r>
        <w:rPr>
          <w:b w:val="0"/>
          <w:i w:val="0"/>
        </w:rPr>
        <w:t xml:space="preserve">The AC solve starts from flat voltage and from an alternative state with angles spread from 0.01 to 0.03 radians and PQ voltages at the midpoint of their bounds; a declared initial voltage adds a third start. Each start is clipped to the angle and voltage bounds. </w:t>
      </w:r>
      <w:r>
        <w:rPr>
          <w:rFonts w:ascii="DejaVu Sans Mono" w:hAnsi="DejaVu Sans Mono"/>
          <w:b w:val="0"/>
          <w:i w:val="0"/>
          <w:sz w:val="17"/>
        </w:rPr>
        <w:t>least_squares</w:t>
      </w:r>
      <w:r>
        <w:rPr>
          <w:b w:val="0"/>
          <w:i w:val="0"/>
        </w:rPr>
        <w:t xml:space="preserve"> uses </w:t>
      </w:r>
      <w:r>
        <w:rPr>
          <w:rFonts w:ascii="DejaVu Sans Mono" w:hAnsi="DejaVu Sans Mono"/>
          <w:b w:val="0"/>
          <w:i w:val="0"/>
          <w:sz w:val="17"/>
        </w:rPr>
        <w:t>xtol = ftol = gtol = 1e-12</w:t>
      </w:r>
      <w:r>
        <w:rPr>
          <w:b w:val="0"/>
          <w:i w:val="0"/>
        </w:rPr>
        <w:t xml:space="preserve"> and </w:t>
      </w:r>
      <w:r>
        <w:rPr>
          <w:rFonts w:ascii="DejaVu Sans Mono" w:hAnsi="DejaVu Sans Mono"/>
          <w:b w:val="0"/>
          <w:i w:val="0"/>
          <w:sz w:val="17"/>
        </w:rPr>
        <w:t>max_nfev = 2000</w:t>
      </w:r>
      <w:r>
        <w:rPr>
          <w:b w:val="0"/>
          <w:i w:val="0"/>
        </w:rPr>
        <w:t xml:space="preserve">. A solution requires successful termination and maximum mismatch at most </w:t>
      </w:r>
      <w:r>
        <w:rPr>
          <w:rFonts w:ascii="DejaVu Sans Mono" w:hAnsi="DejaVu Sans Mono"/>
          <w:b w:val="0"/>
          <w:i w:val="0"/>
          <w:sz w:val="17"/>
        </w:rPr>
        <w:t>residual_tolerance</w:t>
      </w:r>
      <w:r>
        <w:rPr>
          <w:b w:val="0"/>
          <w:i w:val="0"/>
        </w:rPr>
        <w:t xml:space="preserve">, default </w:t>
      </w:r>
      <w:r>
        <w:drawing>
          <wp:inline xmlns:a="http://schemas.openxmlformats.org/drawingml/2006/main" xmlns:pic="http://schemas.openxmlformats.org/drawingml/2006/picture">
            <wp:extent cx="328247" cy="146617"/>
            <wp:docPr id="150" name="Picture 150"/>
            <wp:cNvGraphicFramePr>
              <a:graphicFrameLocks noChangeAspect="1"/>
            </wp:cNvGraphicFramePr>
            <a:graphic>
              <a:graphicData uri="http://schemas.openxmlformats.org/drawingml/2006/picture">
                <pic:pic>
                  <pic:nvPicPr>
                    <pic:cNvPr id="0" name="eq-132.png"/>
                    <pic:cNvPicPr/>
                  </pic:nvPicPr>
                  <pic:blipFill>
                    <a:blip r:embed="rId126"/>
                    <a:stretch>
                      <a:fillRect/>
                    </a:stretch>
                  </pic:blipFill>
                  <pic:spPr>
                    <a:xfrm>
                      <a:off x="0" y="0"/>
                      <a:ext cx="328247" cy="146617"/>
                    </a:xfrm>
                    <a:prstGeom prst="rect"/>
                  </pic:spPr>
                </pic:pic>
              </a:graphicData>
            </a:graphic>
          </wp:inline>
        </w:drawing>
      </w:r>
      <w:r>
        <w:rPr>
          <w:b w:val="0"/>
          <w:i w:val="0"/>
        </w:rPr>
        <w:t xml:space="preserve"> MW or Mvar; the acceptable start with the smallest residual is selected.</w:t>
      </w:r>
    </w:p>
    <w:p>
      <w:r>
        <w:rPr>
          <w:b w:val="0"/>
          <w:i w:val="0"/>
        </w:rPr>
        <w:t xml:space="preserve">Accepted AC solutions have start-to-start voltage/angle differences at most </w:t>
      </w:r>
      <w:r>
        <w:drawing>
          <wp:inline xmlns:a="http://schemas.openxmlformats.org/drawingml/2006/main" xmlns:pic="http://schemas.openxmlformats.org/drawingml/2006/picture">
            <wp:extent cx="328247" cy="146617"/>
            <wp:docPr id="151" name="Picture 151"/>
            <wp:cNvGraphicFramePr>
              <a:graphicFrameLocks noChangeAspect="1"/>
            </wp:cNvGraphicFramePr>
            <a:graphic>
              <a:graphicData uri="http://schemas.openxmlformats.org/drawingml/2006/picture">
                <pic:pic>
                  <pic:nvPicPr>
                    <pic:cNvPr id="0" name="eq-151.png"/>
                    <pic:cNvPicPr/>
                  </pic:nvPicPr>
                  <pic:blipFill>
                    <a:blip r:embed="rId140"/>
                    <a:stretch>
                      <a:fillRect/>
                    </a:stretch>
                  </pic:blipFill>
                  <pic:spPr>
                    <a:xfrm>
                      <a:off x="0" y="0"/>
                      <a:ext cx="328247" cy="146617"/>
                    </a:xfrm>
                    <a:prstGeom prst="rect"/>
                  </pic:spPr>
                </pic:pic>
              </a:graphicData>
            </a:graphic>
          </wp:inline>
        </w:drawing>
      </w:r>
      <w:r>
        <w:rPr>
          <w:b w:val="0"/>
          <w:i w:val="0"/>
        </w:rPr>
        <w:t xml:space="preserve"> and Jacobian condition number at most </w:t>
      </w:r>
      <w:r>
        <w:drawing>
          <wp:inline xmlns:a="http://schemas.openxmlformats.org/drawingml/2006/main" xmlns:pic="http://schemas.openxmlformats.org/drawingml/2006/picture">
            <wp:extent cx="295751" cy="146780"/>
            <wp:docPr id="152" name="Picture 152"/>
            <wp:cNvGraphicFramePr>
              <a:graphicFrameLocks noChangeAspect="1"/>
            </wp:cNvGraphicFramePr>
            <a:graphic>
              <a:graphicData uri="http://schemas.openxmlformats.org/drawingml/2006/picture">
                <pic:pic>
                  <pic:nvPicPr>
                    <pic:cNvPr id="0" name="eq-152.png"/>
                    <pic:cNvPicPr/>
                  </pic:nvPicPr>
                  <pic:blipFill>
                    <a:blip r:embed="rId141"/>
                    <a:stretch>
                      <a:fillRect/>
                    </a:stretch>
                  </pic:blipFill>
                  <pic:spPr>
                    <a:xfrm>
                      <a:off x="0" y="0"/>
                      <a:ext cx="295751" cy="146780"/>
                    </a:xfrm>
                    <a:prstGeom prst="rect"/>
                  </pic:spPr>
                </pic:pic>
              </a:graphicData>
            </a:graphic>
          </wp:inline>
        </w:drawing>
      </w:r>
      <w:r>
        <w:rPr>
          <w:b w:val="0"/>
          <w:i w:val="0"/>
        </w:rPr>
        <w:t xml:space="preserve">. Active and reactive generation, voltage and terminal apparent power remain within declared limits to </w:t>
      </w:r>
      <w:r>
        <w:rPr>
          <w:rFonts w:ascii="DejaVu Sans Mono" w:hAnsi="DejaVu Sans Mono"/>
          <w:b w:val="0"/>
          <w:i w:val="0"/>
          <w:sz w:val="17"/>
        </w:rPr>
        <w:t>equipment_tolerance</w:t>
      </w:r>
      <w:r>
        <w:rPr>
          <w:b w:val="0"/>
          <w:i w:val="0"/>
        </w:rPr>
        <w:t xml:space="preserve">, default </w:t>
      </w:r>
      <w:r>
        <w:drawing>
          <wp:inline xmlns:a="http://schemas.openxmlformats.org/drawingml/2006/main" xmlns:pic="http://schemas.openxmlformats.org/drawingml/2006/picture">
            <wp:extent cx="328247" cy="146617"/>
            <wp:docPr id="153" name="Picture 153"/>
            <wp:cNvGraphicFramePr>
              <a:graphicFrameLocks noChangeAspect="1"/>
            </wp:cNvGraphicFramePr>
            <a:graphic>
              <a:graphicData uri="http://schemas.openxmlformats.org/drawingml/2006/picture">
                <pic:pic>
                  <pic:nvPicPr>
                    <pic:cNvPr id="0" name="eq-153.png"/>
                    <pic:cNvPicPr/>
                  </pic:nvPicPr>
                  <pic:blipFill>
                    <a:blip r:embed="rId142"/>
                    <a:stretch>
                      <a:fillRect/>
                    </a:stretch>
                  </pic:blipFill>
                  <pic:spPr>
                    <a:xfrm>
                      <a:off x="0" y="0"/>
                      <a:ext cx="328247" cy="146617"/>
                    </a:xfrm>
                    <a:prstGeom prst="rect"/>
                  </pic:spPr>
                </pic:pic>
              </a:graphicData>
            </a:graphic>
          </wp:inline>
        </w:drawing>
      </w:r>
      <w:r>
        <w:rPr>
          <w:b w:val="0"/>
          <w:i w:val="0"/>
        </w:rPr>
        <w:t xml:space="preserve"> in their respective units. Each period returns voltages, generation, terminal flows and losses. Solving continues through the chronology; an unsuccessful period terminates the calculation.</w:t>
      </w:r>
    </w:p>
    <w:p>
      <w:pPr>
        <w:pStyle w:val="Heading2"/>
      </w:pPr>
      <w:r>
        <w:rPr>
          <w:b w:val="0"/>
          <w:i w:val="0"/>
        </w:rPr>
        <w:t>Optional line expansion</w:t>
      </w:r>
    </w:p>
    <w:p>
      <w:pPr>
        <w:keepNext/>
      </w:pPr>
      <w:r>
        <w:rPr>
          <w:b w:val="0"/>
          <w:i w:val="0"/>
        </w:rPr>
        <w:t xml:space="preserve">Line expansion screens externally specified candidates using observed congestion and declared annual benefits. Candidate records contain endpoints, circuit numbers, branch parameters and limits, construction cost, fixed operation and maintenance, lifetime, discount rate, lead time, delay, planning success and budget group. </w:t>
      </w:r>
      <w:r>
        <w:rPr>
          <w:rFonts w:ascii="DejaVu Sans Mono" w:hAnsi="DejaVu Sans Mono"/>
          <w:b w:val="0"/>
          <w:i w:val="0"/>
          <w:sz w:val="17"/>
        </w:rPr>
        <w:t>ReferenceTransmissionExpansion.propose</w:t>
      </w:r>
      <w:r>
        <w:rPr>
          <w:b w:val="0"/>
          <w:i w:val="0"/>
        </w:rPr>
        <w:t xml:space="preserve"> computes peak </w:t>
      </w:r>
      <w:r>
        <w:rPr>
          <w:rFonts w:ascii="DejaVu Sans Mono" w:hAnsi="DejaVu Sans Mono"/>
          <w:b w:val="0"/>
          <w:i w:val="0"/>
          <w:sz w:val="17"/>
        </w:rPr>
        <w:t>utilisation</w:t>
      </w:r>
      <w:r>
        <w:rPr>
          <w:b w:val="0"/>
          <w:i w:val="0"/>
        </w:rPr>
        <w:t xml:space="preserve">, </w:t>
      </w:r>
      <w:r>
        <w:rPr>
          <w:rFonts w:ascii="DejaVu Sans Mono" w:hAnsi="DejaVu Sans Mono"/>
          <w:b w:val="0"/>
          <w:i w:val="0"/>
          <w:sz w:val="17"/>
        </w:rPr>
        <w:t>annual_cost</w:t>
      </w:r>
      <w:r>
        <w:rPr>
          <w:b w:val="0"/>
          <w:i w:val="0"/>
        </w:rPr>
        <w:t xml:space="preserve"> and benefit-cost </w:t>
      </w:r>
      <w:r>
        <w:rPr>
          <w:rFonts w:ascii="DejaVu Sans Mono" w:hAnsi="DejaVu Sans Mono"/>
          <w:b w:val="0"/>
          <w:i w:val="0"/>
          <w:sz w:val="17"/>
        </w:rPr>
        <w:t>ratio</w:t>
      </w:r>
      <w:r>
        <w:rPr>
          <w:b w:val="0"/>
          <w:i w:val="0"/>
        </w:rPr>
        <w:t>:</w:t>
      </w:r>
    </w:p>
    <w:p>
      <w:pPr>
        <w:spacing w:after="160"/>
        <w:jc w:val="center"/>
      </w:pPr>
      <w:r>
        <w:drawing>
          <wp:inline xmlns:a="http://schemas.openxmlformats.org/drawingml/2006/main" xmlns:pic="http://schemas.openxmlformats.org/drawingml/2006/picture">
            <wp:extent cx="6123812" cy="1088068"/>
            <wp:docPr id="154" name="Picture 154"/>
            <wp:cNvGraphicFramePr>
              <a:graphicFrameLocks noChangeAspect="1"/>
            </wp:cNvGraphicFramePr>
            <a:graphic>
              <a:graphicData uri="http://schemas.openxmlformats.org/drawingml/2006/picture">
                <pic:pic>
                  <pic:nvPicPr>
                    <pic:cNvPr id="0" name="eq-154.png"/>
                    <pic:cNvPicPr/>
                  </pic:nvPicPr>
                  <pic:blipFill>
                    <a:blip r:embed="rId143"/>
                    <a:stretch>
                      <a:fillRect/>
                    </a:stretch>
                  </pic:blipFill>
                  <pic:spPr>
                    <a:xfrm>
                      <a:off x="0" y="0"/>
                      <a:ext cx="6123812" cy="1088068"/>
                    </a:xfrm>
                    <a:prstGeom prst="rect"/>
                  </pic:spPr>
                </pic:pic>
              </a:graphicData>
            </a:graphic>
          </wp:inline>
        </w:drawing>
      </w:r>
    </w:p>
    <w:p>
      <w:pPr>
        <w:keepNext/>
      </w:pPr>
      <w:r>
        <w:rPr>
          <w:b w:val="0"/>
          <w:i w:val="0"/>
        </w:rPr>
        <w:t xml:space="preserve">The capital-recovery function </w:t>
      </w:r>
      <w:r>
        <w:rPr>
          <w:rFonts w:ascii="DejaVu Sans Mono" w:hAnsi="DejaVu Sans Mono"/>
          <w:b w:val="0"/>
          <w:i w:val="0"/>
          <w:sz w:val="17"/>
        </w:rPr>
        <w:t>_crf</w:t>
      </w:r>
      <w:r>
        <w:rPr>
          <w:b w:val="0"/>
          <w:i w:val="0"/>
        </w:rPr>
        <w:t xml:space="preserve"> uses annual discount fraction </w:t>
      </w:r>
      <w:r>
        <w:rPr>
          <w:rFonts w:ascii="DejaVu Sans Mono" w:hAnsi="DejaVu Sans Mono"/>
          <w:b w:val="0"/>
          <w:i w:val="0"/>
          <w:sz w:val="17"/>
        </w:rPr>
        <w:t>rate</w:t>
      </w:r>
      <w:r>
        <w:rPr>
          <w:b w:val="0"/>
          <w:i w:val="0"/>
        </w:rPr>
        <w:t xml:space="preserve"> and lifetime </w:t>
      </w:r>
      <w:r>
        <w:rPr>
          <w:rFonts w:ascii="DejaVu Sans Mono" w:hAnsi="DejaVu Sans Mono"/>
          <w:b w:val="0"/>
          <w:i w:val="0"/>
          <w:sz w:val="17"/>
        </w:rPr>
        <w:t>life</w:t>
      </w:r>
      <w:r>
        <w:rPr>
          <w:b w:val="0"/>
          <w:i w:val="0"/>
        </w:rPr>
        <w:t xml:space="preserve"> in years; </w:t>
      </w:r>
      <w:r>
        <w:rPr>
          <w:rFonts w:ascii="DejaVu Sans Mono" w:hAnsi="DejaVu Sans Mono"/>
          <w:b w:val="0"/>
          <w:i w:val="0"/>
          <w:sz w:val="17"/>
        </w:rPr>
        <w:t>annual_cost</w:t>
      </w:r>
      <w:r>
        <w:rPr>
          <w:b w:val="0"/>
          <w:i w:val="0"/>
        </w:rPr>
        <w:t xml:space="preserve"> is GBP/year, </w:t>
      </w:r>
      <w:r>
        <w:rPr>
          <w:rFonts w:ascii="DejaVu Sans Mono" w:hAnsi="DejaVu Sans Mono"/>
          <w:b w:val="0"/>
          <w:i w:val="0"/>
          <w:sz w:val="17"/>
        </w:rPr>
        <w:t>total_​capex_​gbp_​per_​build</w:t>
      </w:r>
      <w:r>
        <w:rPr>
          <w:b w:val="0"/>
          <w:i w:val="0"/>
        </w:rPr>
        <w:t xml:space="preserve"> is GBP, and </w:t>
      </w:r>
      <w:r>
        <w:rPr>
          <w:rFonts w:ascii="DejaVu Sans Mono" w:hAnsi="DejaVu Sans Mono"/>
          <w:b w:val="0"/>
          <w:i w:val="0"/>
          <w:sz w:val="17"/>
        </w:rPr>
        <w:t>ratio</w:t>
      </w:r>
      <w:r>
        <w:rPr>
          <w:b w:val="0"/>
          <w:i w:val="0"/>
        </w:rPr>
        <w:t xml:space="preserve"> is dimensionless:</w:t>
      </w:r>
    </w:p>
    <w:p>
      <w:pPr>
        <w:spacing w:after="160"/>
        <w:jc w:val="center"/>
      </w:pPr>
      <w:r>
        <w:drawing>
          <wp:inline xmlns:a="http://schemas.openxmlformats.org/drawingml/2006/main" xmlns:pic="http://schemas.openxmlformats.org/drawingml/2006/picture">
            <wp:extent cx="3721150" cy="649144"/>
            <wp:docPr id="155" name="Picture 155"/>
            <wp:cNvGraphicFramePr>
              <a:graphicFrameLocks noChangeAspect="1"/>
            </wp:cNvGraphicFramePr>
            <a:graphic>
              <a:graphicData uri="http://schemas.openxmlformats.org/drawingml/2006/picture">
                <pic:pic>
                  <pic:nvPicPr>
                    <pic:cNvPr id="0" name="eq-155.png"/>
                    <pic:cNvPicPr/>
                  </pic:nvPicPr>
                  <pic:blipFill>
                    <a:blip r:embed="rId144"/>
                    <a:stretch>
                      <a:fillRect/>
                    </a:stretch>
                  </pic:blipFill>
                  <pic:spPr>
                    <a:xfrm>
                      <a:off x="0" y="0"/>
                      <a:ext cx="3721150" cy="649144"/>
                    </a:xfrm>
                    <a:prstGeom prst="rect"/>
                  </pic:spPr>
                </pic:pic>
              </a:graphicData>
            </a:graphic>
          </wp:inline>
        </w:drawing>
      </w:r>
    </w:p>
    <w:p>
      <w:r>
        <w:rPr>
          <w:b w:val="0"/>
          <w:i w:val="0"/>
        </w:rPr>
        <w:t xml:space="preserve">Candidates already commissioned or in the planning queue are excluded from the next decision. Remaining candidates are ordered by descending </w:t>
      </w:r>
      <w:r>
        <w:rPr>
          <w:rFonts w:ascii="DejaVu Sans Mono" w:hAnsi="DejaVu Sans Mono"/>
          <w:b w:val="0"/>
          <w:i w:val="0"/>
          <w:sz w:val="17"/>
        </w:rPr>
        <w:t>ratio</w:t>
      </w:r>
      <w:r>
        <w:rPr>
          <w:b w:val="0"/>
          <w:i w:val="0"/>
        </w:rPr>
        <w:t xml:space="preserve"> and ascending identifier. Earliest decision year, minimum trigger utilisation, minimum benefit-cost ratio, total budget and budget-group allowance determine admission; zero annual cost gives an infinite ratio. The registered parameter defaults are 0 GBP for total annual funding and </w:t>
      </w:r>
      <w:r>
        <w:drawing>
          <wp:inline xmlns:a="http://schemas.openxmlformats.org/drawingml/2006/main" xmlns:pic="http://schemas.openxmlformats.org/drawingml/2006/picture">
            <wp:extent cx="295751" cy="146780"/>
            <wp:docPr id="156" name="Picture 156"/>
            <wp:cNvGraphicFramePr>
              <a:graphicFrameLocks noChangeAspect="1"/>
            </wp:cNvGraphicFramePr>
            <a:graphic>
              <a:graphicData uri="http://schemas.openxmlformats.org/drawingml/2006/picture">
                <pic:pic>
                  <pic:nvPicPr>
                    <pic:cNvPr id="0" name="eq-156.png"/>
                    <pic:cNvPicPr/>
                  </pic:nvPicPr>
                  <pic:blipFill>
                    <a:blip r:embed="rId145"/>
                    <a:stretch>
                      <a:fillRect/>
                    </a:stretch>
                  </pic:blipFill>
                  <pic:spPr>
                    <a:xfrm>
                      <a:off x="0" y="0"/>
                      <a:ext cx="295751" cy="146780"/>
                    </a:xfrm>
                    <a:prstGeom prst="rect"/>
                  </pic:spPr>
                </pic:pic>
              </a:graphicData>
            </a:graphic>
          </wp:inline>
        </w:drawing>
      </w:r>
      <w:r>
        <w:rPr>
          <w:b w:val="0"/>
          <w:i w:val="0"/>
        </w:rPr>
        <w:t xml:space="preserve"> GBP per group. Each accepted proposal deducts its complete construction cost. Expected commissioning is the decision year plus </w:t>
      </w:r>
      <w:r>
        <w:rPr>
          <w:rFonts w:ascii="DejaVu Sans Mono" w:hAnsi="DejaVu Sans Mono"/>
          <w:b w:val="0"/>
          <w:i w:val="0"/>
          <w:sz w:val="17"/>
        </w:rPr>
        <w:t>lead_time_years</w:t>
      </w:r>
      <w:r>
        <w:rPr>
          <w:b w:val="0"/>
          <w:i w:val="0"/>
        </w:rPr>
        <w:t xml:space="preserve"> and </w:t>
      </w:r>
      <w:r>
        <w:rPr>
          <w:rFonts w:ascii="DejaVu Sans Mono" w:hAnsi="DejaVu Sans Mono"/>
          <w:b w:val="0"/>
          <w:i w:val="0"/>
          <w:sz w:val="17"/>
        </w:rPr>
        <w:t>delay_years</w:t>
      </w:r>
      <w:r>
        <w:rPr>
          <w:b w:val="0"/>
          <w:i w:val="0"/>
        </w:rPr>
        <w:t>.</w:t>
      </w:r>
    </w:p>
    <w:p>
      <w:r>
        <w:rPr>
          <w:b w:val="0"/>
          <w:i w:val="0"/>
        </w:rPr>
        <w:t xml:space="preserve">Planning success in </w:t>
      </w:r>
      <w:r>
        <w:rPr>
          <w:rFonts w:ascii="DejaVu Sans Mono" w:hAnsi="DejaVu Sans Mono"/>
          <w:b w:val="0"/>
          <w:i w:val="0"/>
          <w:sz w:val="17"/>
        </w:rPr>
        <w:t>ReferenceTransmissionExpansion.admit</w:t>
      </w:r>
      <w:r>
        <w:rPr>
          <w:b w:val="0"/>
          <w:i w:val="0"/>
        </w:rPr>
        <w:t xml:space="preserve"> accepts a proposal when its reproducible draw </w:t>
      </w:r>
      <w:r>
        <w:rPr>
          <w:rFonts w:ascii="DejaVu Sans Mono" w:hAnsi="DejaVu Sans Mono"/>
          <w:b w:val="0"/>
          <w:i w:val="0"/>
          <w:sz w:val="17"/>
        </w:rPr>
        <w:t>draw</w:t>
      </w:r>
      <w:r>
        <w:rPr>
          <w:b w:val="0"/>
          <w:i w:val="0"/>
        </w:rPr>
        <w:t xml:space="preserve"> is at most </w:t>
      </w:r>
      <w:r>
        <w:rPr>
          <w:rFonts w:ascii="DejaVu Sans Mono" w:hAnsi="DejaVu Sans Mono"/>
          <w:b w:val="0"/>
          <w:i w:val="0"/>
          <w:sz w:val="17"/>
        </w:rPr>
        <w:t>success_probability</w:t>
      </w:r>
      <w:r>
        <w:rPr>
          <w:b w:val="0"/>
          <w:i w:val="0"/>
        </w:rPr>
        <w:t xml:space="preserve">. </w:t>
      </w:r>
      <w:r>
        <w:rPr>
          <w:rFonts w:ascii="DejaVu Sans Mono" w:hAnsi="DejaVu Sans Mono"/>
          <w:b w:val="0"/>
          <w:i w:val="0"/>
          <w:sz w:val="17"/>
        </w:rPr>
        <w:t>seed</w:t>
      </w:r>
      <w:r>
        <w:rPr>
          <w:b w:val="0"/>
          <w:i w:val="0"/>
        </w:rPr>
        <w:t xml:space="preserve"> reads </w:t>
      </w:r>
      <w:r>
        <w:rPr>
          <w:rFonts w:ascii="DejaVu Sans Mono" w:hAnsi="DejaVu Sans Mono"/>
          <w:b w:val="0"/>
          <w:i w:val="0"/>
          <w:sz w:val="17"/>
        </w:rPr>
        <w:t>network.expansion.random_​seed</w:t>
      </w:r>
      <w:r>
        <w:rPr>
          <w:b w:val="0"/>
          <w:i w:val="0"/>
        </w:rPr>
        <w:t xml:space="preserve">, default 0. The proposal identifier is </w:t>
      </w:r>
      <w:r>
        <w:rPr>
          <w:rFonts w:ascii="DejaVu Sans Mono" w:hAnsi="DejaVu Sans Mono"/>
          <w:b w:val="0"/>
          <w:i w:val="0"/>
          <w:sz w:val="17"/>
        </w:rPr>
        <w:t>network-proposal:{run_​id}:{year}:{candidate_​id}</w:t>
      </w:r>
      <w:r>
        <w:rPr>
          <w:b w:val="0"/>
          <w:i w:val="0"/>
        </w:rPr>
        <w:t xml:space="preserve">. These inputs determine </w:t>
      </w:r>
      <w:r>
        <w:rPr>
          <w:rFonts w:ascii="DejaVu Sans Mono" w:hAnsi="DejaVu Sans Mono"/>
          <w:b w:val="0"/>
          <w:i w:val="0"/>
          <w:sz w:val="17"/>
        </w:rPr>
        <w:t>draw</w:t>
      </w:r>
      <w:r>
        <w:rPr>
          <w:b w:val="0"/>
          <w:i w:val="0"/>
        </w:rPr>
        <w:t xml:space="preserve"> through the following calculation:</w:t>
      </w:r>
    </w:p>
    <w:p>
      <w:pPr>
        <w:keepLines/>
        <w:spacing w:line="276" w:lineRule="auto" w:after="160"/>
      </w:pPr>
      <w:r>
        <w:rPr>
          <w:rFonts w:ascii="DejaVu Sans Mono" w:hAnsi="DejaVu Sans Mono"/>
          <w:b w:val="0"/>
          <w:i w:val="0"/>
          <w:sz w:val="17"/>
        </w:rPr>
        <w:t>digest = hashlib.sha256(</w:t>
        <w:br/>
        <w:t xml:space="preserve">    f"{seed}:{proposal.proposal_id}".encode()</w:t>
        <w:br/>
        <w:t>).hexdigest()</w:t>
        <w:br/>
        <w:t>draw = int(digest[:13], 16) / float(16 ** 13 - 1)</w:t>
        <w:br/>
        <w:t>if draw &lt;= candidate.success_​probability:</w:t>
        <w:br/>
        <w:t xml:space="preserve">    admit the proposal into the planning queue</w:t>
        <w:br/>
      </w:r>
    </w:p>
    <w:p>
      <w:r>
        <w:rPr>
          <w:b w:val="0"/>
          <w:i w:val="0"/>
        </w:rPr>
        <w:t xml:space="preserve">At each year's start, completed projects commission and active lines retire at commissioning year plus the ceiling of </w:t>
      </w:r>
      <w:r>
        <w:rPr>
          <w:rFonts w:ascii="DejaVu Sans Mono" w:hAnsi="DejaVu Sans Mono"/>
          <w:b w:val="0"/>
          <w:i w:val="0"/>
          <w:sz w:val="17"/>
        </w:rPr>
        <w:t>economic_life_years</w:t>
      </w:r>
      <w:r>
        <w:rPr>
          <w:b w:val="0"/>
          <w:i w:val="0"/>
        </w:rPr>
        <w:t xml:space="preserve">. </w:t>
      </w:r>
      <w:r>
        <w:rPr>
          <w:rFonts w:ascii="DejaVu Sans Mono" w:hAnsi="DejaVu Sans Mono"/>
          <w:b w:val="0"/>
          <w:i w:val="0"/>
          <w:sz w:val="17"/>
        </w:rPr>
        <w:t>apply_​commissioned_​network_​assets</w:t>
      </w:r>
      <w:r>
        <w:rPr>
          <w:b w:val="0"/>
          <w:i w:val="0"/>
        </w:rPr>
        <w:t xml:space="preserve"> inserts commissioned branches into the annual network. Line expansion is selected with its candidate table and annual budgets; the supplied 23-zone configuration keeps its network fixed.</w:t>
      </w:r>
    </w:p>
    <w:p>
      <w:pPr>
        <w:pStyle w:val="Heading1"/>
      </w:pPr>
      <w:r>
        <w:rPr>
          <w:b w:val="0"/>
          <w:i w:val="0"/>
        </w:rPr>
        <w:t>8 Perfect-foresight dispatch and natural hydrology</w:t>
      </w:r>
    </w:p>
    <w:p>
      <w:pPr>
        <w:pStyle w:val="Heading2"/>
      </w:pPr>
      <w:r>
        <w:rPr>
          <w:b w:val="0"/>
          <w:i w:val="0"/>
        </w:rPr>
        <w:t>Perfect-foresight single-node dispatch</w:t>
      </w:r>
    </w:p>
    <w:p>
      <w:r>
        <w:rPr>
          <w:b w:val="0"/>
          <w:i w:val="0"/>
        </w:rPr>
        <w:t xml:space="preserve">The perfect-foresight module schedules generation, imports and storage jointly over the complete input chronology at fixed asset capacities. </w:t>
      </w:r>
      <w:r>
        <w:rPr>
          <w:rFonts w:ascii="DejaVu Sans Mono" w:hAnsi="DejaVu Sans Mono"/>
          <w:b w:val="0"/>
          <w:i w:val="0"/>
          <w:sz w:val="17"/>
        </w:rPr>
        <w:t>PerfectForesightPSM.run</w:t>
      </w:r>
      <w:r>
        <w:rPr>
          <w:b w:val="0"/>
          <w:i w:val="0"/>
        </w:rPr>
        <w:t xml:space="preserve"> reads </w:t>
      </w:r>
      <w:r>
        <w:rPr>
          <w:rFonts w:ascii="DejaVu Sans Mono" w:hAnsi="DejaVu Sans Mono"/>
          <w:b w:val="0"/>
          <w:i w:val="0"/>
          <w:sz w:val="17"/>
        </w:rPr>
        <w:t>PSMInput.chronology</w:t>
      </w:r>
      <w:r>
        <w:rPr>
          <w:b w:val="0"/>
          <w:i w:val="0"/>
        </w:rPr>
        <w:t>; the outer annual model supplies investment and the resulting capacities. Each period contains demand, resource availability and marginal costs. Storage inputs give power, energy capacity, efficiencies and initial inventory.</w:t>
      </w:r>
    </w:p>
    <w:p>
      <w:r>
        <w:rPr>
          <w:b w:val="0"/>
          <w:i w:val="0"/>
        </w:rPr>
        <w:t xml:space="preserve">Resource availability accepts a single-element series or a complete series, with finite values in </w:t>
      </w:r>
      <w:r>
        <w:drawing>
          <wp:inline xmlns:a="http://schemas.openxmlformats.org/drawingml/2006/main" xmlns:pic="http://schemas.openxmlformats.org/drawingml/2006/picture">
            <wp:extent cx="330511" cy="164161"/>
            <wp:docPr id="157" name="Picture 157"/>
            <wp:cNvGraphicFramePr>
              <a:graphicFrameLocks noChangeAspect="1"/>
            </wp:cNvGraphicFramePr>
            <a:graphic>
              <a:graphicData uri="http://schemas.openxmlformats.org/drawingml/2006/picture">
                <pic:pic>
                  <pic:nvPicPr>
                    <pic:cNvPr id="0" name="eq-139.png"/>
                    <pic:cNvPicPr/>
                  </pic:nvPicPr>
                  <pic:blipFill>
                    <a:blip r:embed="rId132"/>
                    <a:stretch>
                      <a:fillRect/>
                    </a:stretch>
                  </pic:blipFill>
                  <pic:spPr>
                    <a:xfrm>
                      <a:off x="0" y="0"/>
                      <a:ext cx="330511" cy="164161"/>
                    </a:xfrm>
                    <a:prstGeom prst="rect"/>
                  </pic:spPr>
                </pic:pic>
              </a:graphicData>
            </a:graphic>
          </wp:inline>
        </w:drawing>
      </w:r>
      <w:r>
        <w:rPr>
          <w:b w:val="0"/>
          <w:i w:val="0"/>
        </w:rPr>
        <w:t xml:space="preserve">. Marginal cost accepts a scalar, a single-element series or a complete series, with finite nonnegative values. Demand is finite nonnegative MWh, period identifiers are unique and all full series follow that chronology. Charging and discharging efficiencies lie in </w:t>
      </w:r>
      <w:r>
        <w:drawing>
          <wp:inline xmlns:a="http://schemas.openxmlformats.org/drawingml/2006/main" xmlns:pic="http://schemas.openxmlformats.org/drawingml/2006/picture">
            <wp:extent cx="348913" cy="164582"/>
            <wp:docPr id="158" name="Picture 158"/>
            <wp:cNvGraphicFramePr>
              <a:graphicFrameLocks noChangeAspect="1"/>
            </wp:cNvGraphicFramePr>
            <a:graphic>
              <a:graphicData uri="http://schemas.openxmlformats.org/drawingml/2006/picture">
                <pic:pic>
                  <pic:nvPicPr>
                    <pic:cNvPr id="0" name="eq-158.png"/>
                    <pic:cNvPicPr/>
                  </pic:nvPicPr>
                  <pic:blipFill>
                    <a:blip r:embed="rId146"/>
                    <a:stretch>
                      <a:fillRect/>
                    </a:stretch>
                  </pic:blipFill>
                  <pic:spPr>
                    <a:xfrm>
                      <a:off x="0" y="0"/>
                      <a:ext cx="348913" cy="164582"/>
                    </a:xfrm>
                    <a:prstGeom prst="rect"/>
                  </pic:spPr>
                </pic:pic>
              </a:graphicData>
            </a:graphic>
          </wp:inline>
        </w:drawing>
      </w:r>
      <w:r>
        <w:rPr>
          <w:b w:val="0"/>
          <w:i w:val="0"/>
        </w:rPr>
        <w:t>; initial and fixed terminal inventories lie within energy capacity. Hydro supplied here is a resource with declared electrical availability. The hydrological functions below construct availability from inflow or optimise a conventional reservoir.</w:t>
      </w:r>
    </w:p>
    <w:p>
      <w:pPr>
        <w:keepNext/>
      </w:pPr>
      <w:r>
        <w:rPr>
          <w:b w:val="0"/>
          <w:i w:val="0"/>
        </w:rPr>
        <w:t xml:space="preserve">The objective minimises operating resource expenditure, storage degradation and shortage cost. </w:t>
      </w:r>
      <w:r>
        <w:rPr>
          <w:rFonts w:ascii="DejaVu Sans Mono" w:hAnsi="DejaVu Sans Mono"/>
          <w:b w:val="0"/>
          <w:i w:val="0"/>
          <w:sz w:val="17"/>
        </w:rPr>
        <w:t>resource_period</w:t>
      </w:r>
      <w:r>
        <w:rPr>
          <w:b w:val="0"/>
          <w:i w:val="0"/>
        </w:rPr>
        <w:t xml:space="preserve">, </w:t>
      </w:r>
      <w:r>
        <w:rPr>
          <w:rFonts w:ascii="DejaVu Sans Mono" w:hAnsi="DejaVu Sans Mono"/>
          <w:b w:val="0"/>
          <w:i w:val="0"/>
          <w:sz w:val="17"/>
        </w:rPr>
        <w:t>charge_period</w:t>
      </w:r>
      <w:r>
        <w:rPr>
          <w:b w:val="0"/>
          <w:i w:val="0"/>
        </w:rPr>
        <w:t xml:space="preserve">, </w:t>
      </w:r>
      <w:r>
        <w:rPr>
          <w:rFonts w:ascii="DejaVu Sans Mono" w:hAnsi="DejaVu Sans Mono"/>
          <w:b w:val="0"/>
          <w:i w:val="0"/>
          <w:sz w:val="17"/>
        </w:rPr>
        <w:t>discharge_period</w:t>
      </w:r>
      <w:r>
        <w:rPr>
          <w:b w:val="0"/>
          <w:i w:val="0"/>
        </w:rPr>
        <w:t xml:space="preserve">, </w:t>
      </w:r>
      <w:r>
        <w:rPr>
          <w:rFonts w:ascii="DejaVu Sans Mono" w:hAnsi="DejaVu Sans Mono"/>
          <w:b w:val="0"/>
          <w:i w:val="0"/>
          <w:sz w:val="17"/>
        </w:rPr>
        <w:t>soc_period</w:t>
      </w:r>
      <w:r>
        <w:rPr>
          <w:b w:val="0"/>
          <w:i w:val="0"/>
        </w:rPr>
        <w:t xml:space="preserve"> and </w:t>
      </w:r>
      <w:r>
        <w:rPr>
          <w:rFonts w:ascii="DejaVu Sans Mono" w:hAnsi="DejaVu Sans Mono"/>
          <w:b w:val="0"/>
          <w:i w:val="0"/>
          <w:sz w:val="17"/>
        </w:rPr>
        <w:t>blackout</w:t>
      </w:r>
      <w:r>
        <w:rPr>
          <w:b w:val="0"/>
          <w:i w:val="0"/>
        </w:rPr>
        <w:t xml:space="preserve"> are MWh arrays, indexed by resource </w:t>
      </w:r>
      <w:r>
        <w:drawing>
          <wp:inline xmlns:a="http://schemas.openxmlformats.org/drawingml/2006/main" xmlns:pic="http://schemas.openxmlformats.org/drawingml/2006/picture">
            <wp:extent cx="57032" cy="111870"/>
            <wp:docPr id="159" name="Picture 159"/>
            <wp:cNvGraphicFramePr>
              <a:graphicFrameLocks noChangeAspect="1"/>
            </wp:cNvGraphicFramePr>
            <a:graphic>
              <a:graphicData uri="http://schemas.openxmlformats.org/drawingml/2006/picture">
                <pic:pic>
                  <pic:nvPicPr>
                    <pic:cNvPr id="0" name="eq-035.png"/>
                    <pic:cNvPicPr/>
                  </pic:nvPicPr>
                  <pic:blipFill>
                    <a:blip r:embed="rId45"/>
                    <a:stretch>
                      <a:fillRect/>
                    </a:stretch>
                  </pic:blipFill>
                  <pic:spPr>
                    <a:xfrm>
                      <a:off x="0" y="0"/>
                      <a:ext cx="57032" cy="111870"/>
                    </a:xfrm>
                    <a:prstGeom prst="rect"/>
                  </pic:spPr>
                </pic:pic>
              </a:graphicData>
            </a:graphic>
          </wp:inline>
        </w:drawing>
      </w:r>
      <w:r>
        <w:rPr>
          <w:b w:val="0"/>
          <w:i w:val="0"/>
        </w:rPr>
        <w:t xml:space="preserve">, storage asset </w:t>
      </w:r>
      <w:r>
        <w:drawing>
          <wp:inline xmlns:a="http://schemas.openxmlformats.org/drawingml/2006/main" xmlns:pic="http://schemas.openxmlformats.org/drawingml/2006/picture">
            <wp:extent cx="77479" cy="75265"/>
            <wp:docPr id="160" name="Picture 160"/>
            <wp:cNvGraphicFramePr>
              <a:graphicFrameLocks noChangeAspect="1"/>
            </wp:cNvGraphicFramePr>
            <a:graphic>
              <a:graphicData uri="http://schemas.openxmlformats.org/drawingml/2006/picture">
                <pic:pic>
                  <pic:nvPicPr>
                    <pic:cNvPr id="0" name="eq-160.png"/>
                    <pic:cNvPicPr/>
                  </pic:nvPicPr>
                  <pic:blipFill>
                    <a:blip r:embed="rId147"/>
                    <a:stretch>
                      <a:fillRect/>
                    </a:stretch>
                  </pic:blipFill>
                  <pic:spPr>
                    <a:xfrm>
                      <a:off x="0" y="0"/>
                      <a:ext cx="77479" cy="75265"/>
                    </a:xfrm>
                    <a:prstGeom prst="rect"/>
                  </pic:spPr>
                </pic:pic>
              </a:graphicData>
            </a:graphic>
          </wp:inline>
        </w:drawing>
      </w:r>
      <w:r>
        <w:rPr>
          <w:b w:val="0"/>
          <w:i w:val="0"/>
        </w:rPr>
        <w:t xml:space="preserve"> and period </w:t>
      </w:r>
      <w:r>
        <w:drawing>
          <wp:inline xmlns:a="http://schemas.openxmlformats.org/drawingml/2006/main" xmlns:pic="http://schemas.openxmlformats.org/drawingml/2006/picture">
            <wp:extent cx="59661" cy="106064"/>
            <wp:docPr id="161" name="Picture 161"/>
            <wp:cNvGraphicFramePr>
              <a:graphicFrameLocks noChangeAspect="1"/>
            </wp:cNvGraphicFramePr>
            <a:graphic>
              <a:graphicData uri="http://schemas.openxmlformats.org/drawingml/2006/picture">
                <pic:pic>
                  <pic:nvPicPr>
                    <pic:cNvPr id="0" name="eq-036.png"/>
                    <pic:cNvPicPr/>
                  </pic:nvPicPr>
                  <pic:blipFill>
                    <a:blip r:embed="rId46"/>
                    <a:stretch>
                      <a:fillRect/>
                    </a:stretch>
                  </pic:blipFill>
                  <pic:spPr>
                    <a:xfrm>
                      <a:off x="0" y="0"/>
                      <a:ext cx="59661" cy="106064"/>
                    </a:xfrm>
                    <a:prstGeom prst="rect"/>
                  </pic:spPr>
                </pic:pic>
              </a:graphicData>
            </a:graphic>
          </wp:inline>
        </w:drawing>
      </w:r>
      <w:r>
        <w:rPr>
          <w:b w:val="0"/>
          <w:i w:val="0"/>
        </w:rPr>
        <w:t xml:space="preserve">. </w:t>
      </w:r>
      <w:r>
        <w:rPr>
          <w:rFonts w:ascii="DejaVu Sans Mono" w:hAnsi="DejaVu Sans Mono"/>
          <w:b w:val="0"/>
          <w:i w:val="0"/>
          <w:sz w:val="17"/>
        </w:rPr>
        <w:t>resource_marginal_costs</w:t>
      </w:r>
      <w:r>
        <w:rPr>
          <w:b w:val="0"/>
          <w:i w:val="0"/>
        </w:rPr>
        <w:t xml:space="preserve"> and </w:t>
      </w:r>
      <w:r>
        <w:rPr>
          <w:rFonts w:ascii="DejaVu Sans Mono" w:hAnsi="DejaVu Sans Mono"/>
          <w:b w:val="0"/>
          <w:i w:val="0"/>
          <w:sz w:val="17"/>
        </w:rPr>
        <w:t>variable_​degradation_​gbp_​per_​mwh_​discharged</w:t>
      </w:r>
      <w:r>
        <w:rPr>
          <w:b w:val="0"/>
          <w:i w:val="0"/>
        </w:rPr>
        <w:t xml:space="preserve"> are GBP/MWh. With </w:t>
      </w:r>
      <w:r>
        <w:rPr>
          <w:rFonts w:ascii="DejaVu Sans Mono" w:hAnsi="DejaVu Sans Mono"/>
          <w:b w:val="0"/>
          <w:i w:val="0"/>
          <w:sz w:val="17"/>
        </w:rPr>
        <w:t>voll_gbp_per_mwh</w:t>
      </w:r>
      <w:r>
        <w:rPr>
          <w:b w:val="0"/>
          <w:i w:val="0"/>
        </w:rPr>
        <w:t xml:space="preserve"> as the shortage valuation, the objective is</w:t>
      </w:r>
    </w:p>
    <w:p>
      <w:pPr>
        <w:spacing w:after="160"/>
        <w:jc w:val="center"/>
      </w:pPr>
      <w:r>
        <w:drawing>
          <wp:inline xmlns:a="http://schemas.openxmlformats.org/drawingml/2006/main" xmlns:pic="http://schemas.openxmlformats.org/drawingml/2006/picture">
            <wp:extent cx="6150406" cy="1248372"/>
            <wp:docPr id="162" name="Picture 162"/>
            <wp:cNvGraphicFramePr>
              <a:graphicFrameLocks noChangeAspect="1"/>
            </wp:cNvGraphicFramePr>
            <a:graphic>
              <a:graphicData uri="http://schemas.openxmlformats.org/drawingml/2006/picture">
                <pic:pic>
                  <pic:nvPicPr>
                    <pic:cNvPr id="0" name="eq-162.png"/>
                    <pic:cNvPicPr/>
                  </pic:nvPicPr>
                  <pic:blipFill>
                    <a:blip r:embed="rId148"/>
                    <a:stretch>
                      <a:fillRect/>
                    </a:stretch>
                  </pic:blipFill>
                  <pic:spPr>
                    <a:xfrm>
                      <a:off x="0" y="0"/>
                      <a:ext cx="6150406" cy="1248372"/>
                    </a:xfrm>
                    <a:prstGeom prst="rect"/>
                  </pic:spPr>
                </pic:pic>
              </a:graphicData>
            </a:graphic>
          </wp:inline>
        </w:drawing>
      </w:r>
    </w:p>
    <w:p>
      <w:pPr>
        <w:keepNext/>
      </w:pPr>
      <w:r>
        <w:rPr>
          <w:b w:val="0"/>
          <w:i w:val="0"/>
        </w:rPr>
        <w:t>The single-node balance supplies demand and charging from available resources, storage discharge and recorded shortage:</w:t>
      </w:r>
    </w:p>
    <w:p>
      <w:pPr>
        <w:spacing w:after="160"/>
        <w:jc w:val="center"/>
      </w:pPr>
      <w:r>
        <w:drawing>
          <wp:inline xmlns:a="http://schemas.openxmlformats.org/drawingml/2006/main" xmlns:pic="http://schemas.openxmlformats.org/drawingml/2006/picture">
            <wp:extent cx="4421886" cy="784233"/>
            <wp:docPr id="163" name="Picture 163"/>
            <wp:cNvGraphicFramePr>
              <a:graphicFrameLocks noChangeAspect="1"/>
            </wp:cNvGraphicFramePr>
            <a:graphic>
              <a:graphicData uri="http://schemas.openxmlformats.org/drawingml/2006/picture">
                <pic:pic>
                  <pic:nvPicPr>
                    <pic:cNvPr id="0" name="eq-163.png"/>
                    <pic:cNvPicPr/>
                  </pic:nvPicPr>
                  <pic:blipFill>
                    <a:blip r:embed="rId149"/>
                    <a:stretch>
                      <a:fillRect/>
                    </a:stretch>
                  </pic:blipFill>
                  <pic:spPr>
                    <a:xfrm>
                      <a:off x="0" y="0"/>
                      <a:ext cx="4421886" cy="784233"/>
                    </a:xfrm>
                    <a:prstGeom prst="rect"/>
                  </pic:spPr>
                </pic:pic>
              </a:graphicData>
            </a:graphic>
          </wp:inline>
        </w:drawing>
      </w:r>
    </w:p>
    <w:p>
      <w:pPr>
        <w:keepNext/>
      </w:pPr>
      <w:r>
        <w:rPr>
          <w:b w:val="0"/>
          <w:i w:val="0"/>
        </w:rPr>
        <w:t xml:space="preserve">Storage inventory records internal energy. </w:t>
      </w:r>
      <w:r>
        <w:rPr>
          <w:rFonts w:ascii="DejaVu Sans Mono" w:hAnsi="DejaVu Sans Mono"/>
          <w:b w:val="0"/>
          <w:i w:val="0"/>
          <w:sz w:val="17"/>
        </w:rPr>
        <w:t>charge_efficiency</w:t>
      </w:r>
      <w:r>
        <w:rPr>
          <w:b w:val="0"/>
          <w:i w:val="0"/>
        </w:rPr>
        <w:t xml:space="preserve"> multiplies electricity absorbed from the grid, while delivered electricity is divided by </w:t>
      </w:r>
      <w:r>
        <w:rPr>
          <w:rFonts w:ascii="DejaVu Sans Mono" w:hAnsi="DejaVu Sans Mono"/>
          <w:b w:val="0"/>
          <w:i w:val="0"/>
          <w:sz w:val="17"/>
        </w:rPr>
        <w:t>discharge_efficiency</w:t>
      </w:r>
      <w:r>
        <w:rPr>
          <w:b w:val="0"/>
          <w:i w:val="0"/>
        </w:rPr>
        <w:t>:</w:t>
      </w:r>
    </w:p>
    <w:p>
      <w:pPr>
        <w:spacing w:after="160"/>
        <w:jc w:val="center"/>
      </w:pPr>
      <w:r>
        <w:drawing>
          <wp:inline xmlns:a="http://schemas.openxmlformats.org/drawingml/2006/main" xmlns:pic="http://schemas.openxmlformats.org/drawingml/2006/picture">
            <wp:extent cx="5128869" cy="441119"/>
            <wp:docPr id="164" name="Picture 164"/>
            <wp:cNvGraphicFramePr>
              <a:graphicFrameLocks noChangeAspect="1"/>
            </wp:cNvGraphicFramePr>
            <a:graphic>
              <a:graphicData uri="http://schemas.openxmlformats.org/drawingml/2006/picture">
                <pic:pic>
                  <pic:nvPicPr>
                    <pic:cNvPr id="0" name="eq-164.png"/>
                    <pic:cNvPicPr/>
                  </pic:nvPicPr>
                  <pic:blipFill>
                    <a:blip r:embed="rId150"/>
                    <a:stretch>
                      <a:fillRect/>
                    </a:stretch>
                  </pic:blipFill>
                  <pic:spPr>
                    <a:xfrm>
                      <a:off x="0" y="0"/>
                      <a:ext cx="5128869" cy="441119"/>
                    </a:xfrm>
                    <a:prstGeom prst="rect"/>
                  </pic:spPr>
                </pic:pic>
              </a:graphicData>
            </a:graphic>
          </wp:inline>
        </w:drawing>
      </w:r>
    </w:p>
    <w:p>
      <w:pPr>
        <w:keepNext/>
      </w:pPr>
      <w:r>
        <w:rPr>
          <w:b w:val="0"/>
          <w:i w:val="0"/>
        </w:rPr>
        <w:t xml:space="preserve">Capacity bounds use </w:t>
      </w:r>
      <w:r>
        <w:rPr>
          <w:rFonts w:ascii="DejaVu Sans Mono" w:hAnsi="DejaVu Sans Mono"/>
          <w:b w:val="0"/>
          <w:i w:val="0"/>
          <w:sz w:val="17"/>
        </w:rPr>
        <w:t>period_hours</w:t>
      </w:r>
      <w:r>
        <w:rPr>
          <w:b w:val="0"/>
          <w:i w:val="0"/>
        </w:rPr>
        <w:t xml:space="preserve"> to convert MW into period MWh:</w:t>
      </w:r>
    </w:p>
    <w:p>
      <w:pPr>
        <w:spacing w:after="160"/>
        <w:jc w:val="center"/>
      </w:pPr>
      <w:r>
        <w:drawing>
          <wp:inline xmlns:a="http://schemas.openxmlformats.org/drawingml/2006/main" xmlns:pic="http://schemas.openxmlformats.org/drawingml/2006/picture">
            <wp:extent cx="5133213" cy="930609"/>
            <wp:docPr id="165" name="Picture 165"/>
            <wp:cNvGraphicFramePr>
              <a:graphicFrameLocks noChangeAspect="1"/>
            </wp:cNvGraphicFramePr>
            <a:graphic>
              <a:graphicData uri="http://schemas.openxmlformats.org/drawingml/2006/picture">
                <pic:pic>
                  <pic:nvPicPr>
                    <pic:cNvPr id="0" name="eq-165.png"/>
                    <pic:cNvPicPr/>
                  </pic:nvPicPr>
                  <pic:blipFill>
                    <a:blip r:embed="rId151"/>
                    <a:stretch>
                      <a:fillRect/>
                    </a:stretch>
                  </pic:blipFill>
                  <pic:spPr>
                    <a:xfrm>
                      <a:off x="0" y="0"/>
                      <a:ext cx="5133213" cy="930609"/>
                    </a:xfrm>
                    <a:prstGeom prst="rect"/>
                  </pic:spPr>
                </pic:pic>
              </a:graphicData>
            </a:graphic>
          </wp:inline>
        </w:drawing>
      </w:r>
    </w:p>
    <w:p>
      <w:r>
        <w:rPr>
          <w:b w:val="0"/>
          <w:i w:val="0"/>
        </w:rPr>
        <w:t xml:space="preserve">Initial and terminal inventory determine net storage energy exchange across the horizon. The first transition starts from </w:t>
      </w:r>
      <w:r>
        <w:rPr>
          <w:rFonts w:ascii="DejaVu Sans Mono" w:hAnsi="DejaVu Sans Mono"/>
          <w:b w:val="0"/>
          <w:i w:val="0"/>
          <w:sz w:val="17"/>
        </w:rPr>
        <w:t>initial_soc_mwh</w:t>
      </w:r>
      <w:r>
        <w:rPr>
          <w:b w:val="0"/>
          <w:i w:val="0"/>
        </w:rPr>
        <w:t xml:space="preserve">. The default </w:t>
      </w:r>
      <w:r>
        <w:rPr>
          <w:rFonts w:ascii="DejaVu Sans Mono" w:hAnsi="DejaVu Sans Mono"/>
          <w:b w:val="0"/>
          <w:i w:val="0"/>
          <w:sz w:val="17"/>
        </w:rPr>
        <w:t>terminal_soc_rule = cyclic</w:t>
      </w:r>
      <w:r>
        <w:rPr>
          <w:b w:val="0"/>
          <w:i w:val="0"/>
        </w:rPr>
        <w:t xml:space="preserve"> equates final and initial inventory; </w:t>
      </w:r>
      <w:r>
        <w:rPr>
          <w:rFonts w:ascii="DejaVu Sans Mono" w:hAnsi="DejaVu Sans Mono"/>
          <w:b w:val="0"/>
          <w:i w:val="0"/>
          <w:sz w:val="17"/>
        </w:rPr>
        <w:t>fixed</w:t>
      </w:r>
      <w:r>
        <w:rPr>
          <w:b w:val="0"/>
          <w:i w:val="0"/>
        </w:rPr>
        <w:t xml:space="preserve"> uses </w:t>
      </w:r>
      <w:r>
        <w:rPr>
          <w:rFonts w:ascii="DejaVu Sans Mono" w:hAnsi="DejaVu Sans Mono"/>
          <w:b w:val="0"/>
          <w:i w:val="0"/>
          <w:sz w:val="17"/>
        </w:rPr>
        <w:t>terminal_​soc_​mwh_​by_​asset</w:t>
      </w:r>
      <w:r>
        <w:rPr>
          <w:b w:val="0"/>
          <w:i w:val="0"/>
        </w:rPr>
        <w:t xml:space="preserve">; </w:t>
      </w:r>
      <w:r>
        <w:rPr>
          <w:rFonts w:ascii="DejaVu Sans Mono" w:hAnsi="DejaVu Sans Mono"/>
          <w:b w:val="0"/>
          <w:i w:val="0"/>
          <w:sz w:val="17"/>
        </w:rPr>
        <w:t>free</w:t>
      </w:r>
      <w:r>
        <w:rPr>
          <w:b w:val="0"/>
          <w:i w:val="0"/>
        </w:rPr>
        <w:t xml:space="preserve"> leaves final inventory within its bounds. With </w:t>
      </w:r>
      <w:r>
        <w:rPr>
          <w:rFonts w:ascii="DejaVu Sans Mono" w:hAnsi="DejaVu Sans Mono"/>
          <w:b w:val="0"/>
          <w:i w:val="0"/>
          <w:sz w:val="17"/>
        </w:rPr>
        <w:t>allow_blackout</w:t>
      </w:r>
      <w:r>
        <w:rPr>
          <w:b w:val="0"/>
          <w:i w:val="0"/>
        </w:rPr>
        <w:t xml:space="preserve">, shortage lies between zero and </w:t>
      </w:r>
      <w:r>
        <w:rPr>
          <w:rFonts w:ascii="DejaVu Sans Mono" w:hAnsi="DejaVu Sans Mono"/>
          <w:b w:val="0"/>
          <w:i w:val="0"/>
          <w:sz w:val="17"/>
        </w:rPr>
        <w:t>demand_mwh</w:t>
      </w:r>
      <w:r>
        <w:rPr>
          <w:b w:val="0"/>
          <w:i w:val="0"/>
        </w:rPr>
        <w:t xml:space="preserve">; otherwise its upper bound is zero. Defaults are </w:t>
      </w:r>
      <w:r>
        <w:rPr>
          <w:rFonts w:ascii="DejaVu Sans Mono" w:hAnsi="DejaVu Sans Mono"/>
          <w:b w:val="0"/>
          <w:i w:val="0"/>
          <w:sz w:val="17"/>
        </w:rPr>
        <w:t>period_hours = 0.5</w:t>
      </w:r>
      <w:r>
        <w:rPr>
          <w:b w:val="0"/>
          <w:i w:val="0"/>
        </w:rPr>
        <w:t xml:space="preserve">, </w:t>
      </w:r>
      <w:r>
        <w:rPr>
          <w:rFonts w:ascii="DejaVu Sans Mono" w:hAnsi="DejaVu Sans Mono"/>
          <w:b w:val="0"/>
          <w:i w:val="0"/>
          <w:sz w:val="17"/>
        </w:rPr>
        <w:t>voll_gbp_per_mwh = 17000</w:t>
      </w:r>
      <w:r>
        <w:rPr>
          <w:b w:val="0"/>
          <w:i w:val="0"/>
        </w:rPr>
        <w:t xml:space="preserve"> and zero degradation cost. The Study parameter </w:t>
      </w:r>
      <w:r>
        <w:rPr>
          <w:rFonts w:ascii="DejaVu Sans Mono" w:hAnsi="DejaVu Sans Mono"/>
          <w:b w:val="0"/>
          <w:i w:val="0"/>
          <w:sz w:val="17"/>
        </w:rPr>
        <w:t>market.voll_gbp_per_mwh</w:t>
      </w:r>
      <w:r>
        <w:rPr>
          <w:b w:val="0"/>
          <w:i w:val="0"/>
        </w:rPr>
        <w:t xml:space="preserve"> accepts 0–1,000,000 GBP/MWh and enters the dispatch objective.</w:t>
      </w:r>
    </w:p>
    <w:p>
      <w:pPr>
        <w:keepNext/>
      </w:pPr>
      <w:r>
        <w:rPr>
          <w:b w:val="0"/>
          <w:i w:val="0"/>
        </w:rPr>
        <w:t xml:space="preserve">A second linear programme minimises storage throughput within the first solution's cost tolerance. </w:t>
      </w:r>
      <w:r>
        <w:rPr>
          <w:rFonts w:ascii="DejaVu Sans Mono" w:hAnsi="DejaVu Sans Mono"/>
          <w:b w:val="0"/>
          <w:i w:val="0"/>
          <w:sz w:val="17"/>
        </w:rPr>
        <w:t>primary.fun</w:t>
      </w:r>
      <w:r>
        <w:rPr>
          <w:b w:val="0"/>
          <w:i w:val="0"/>
        </w:rPr>
        <w:t xml:space="preserve"> is the first-stage minimum in GBP; the second stage retains all physical constraints and adds</w:t>
      </w:r>
    </w:p>
    <w:p>
      <w:pPr>
        <w:spacing w:after="160"/>
        <w:jc w:val="center"/>
      </w:pPr>
      <w:r>
        <w:drawing>
          <wp:inline xmlns:a="http://schemas.openxmlformats.org/drawingml/2006/main" xmlns:pic="http://schemas.openxmlformats.org/drawingml/2006/picture">
            <wp:extent cx="4758385" cy="886769"/>
            <wp:docPr id="166" name="Picture 166"/>
            <wp:cNvGraphicFramePr>
              <a:graphicFrameLocks noChangeAspect="1"/>
            </wp:cNvGraphicFramePr>
            <a:graphic>
              <a:graphicData uri="http://schemas.openxmlformats.org/drawingml/2006/picture">
                <pic:pic>
                  <pic:nvPicPr>
                    <pic:cNvPr id="0" name="eq-166.png"/>
                    <pic:cNvPicPr/>
                  </pic:nvPicPr>
                  <pic:blipFill>
                    <a:blip r:embed="rId152"/>
                    <a:stretch>
                      <a:fillRect/>
                    </a:stretch>
                  </pic:blipFill>
                  <pic:spPr>
                    <a:xfrm>
                      <a:off x="0" y="0"/>
                      <a:ext cx="4758385" cy="886769"/>
                    </a:xfrm>
                    <a:prstGeom prst="rect"/>
                  </pic:spPr>
                </pic:pic>
              </a:graphicData>
            </a:graphic>
          </wp:inline>
        </w:drawing>
      </w:r>
    </w:p>
    <w:p>
      <w:r>
        <w:rPr>
          <w:b w:val="0"/>
          <w:i w:val="0"/>
        </w:rPr>
        <w:t xml:space="preserve">Both stages use HiGHS with primal and dual feasibility tolerances of </w:t>
      </w:r>
      <w:r>
        <w:drawing>
          <wp:inline xmlns:a="http://schemas.openxmlformats.org/drawingml/2006/main" xmlns:pic="http://schemas.openxmlformats.org/drawingml/2006/picture">
            <wp:extent cx="328247" cy="146617"/>
            <wp:docPr id="167" name="Picture 167"/>
            <wp:cNvGraphicFramePr>
              <a:graphicFrameLocks noChangeAspect="1"/>
            </wp:cNvGraphicFramePr>
            <a:graphic>
              <a:graphicData uri="http://schemas.openxmlformats.org/drawingml/2006/picture">
                <pic:pic>
                  <pic:nvPicPr>
                    <pic:cNvPr id="0" name="eq-111.png"/>
                    <pic:cNvPicPr/>
                  </pic:nvPicPr>
                  <pic:blipFill>
                    <a:blip r:embed="rId114"/>
                    <a:stretch>
                      <a:fillRect/>
                    </a:stretch>
                  </pic:blipFill>
                  <pic:spPr>
                    <a:xfrm>
                      <a:off x="0" y="0"/>
                      <a:ext cx="328247" cy="146617"/>
                    </a:xfrm>
                    <a:prstGeom prst="rect"/>
                  </pic:spPr>
                </pic:pic>
              </a:graphicData>
            </a:graphic>
          </wp:inline>
        </w:drawing>
      </w:r>
      <w:r>
        <w:rPr>
          <w:b w:val="0"/>
          <w:i w:val="0"/>
        </w:rPr>
        <w:t xml:space="preserve">, and each requires a successful optimal termination before the calculation advances. The returned physical trajectory is </w:t>
      </w:r>
      <w:r>
        <w:rPr>
          <w:rFonts w:ascii="DejaVu Sans Mono" w:hAnsi="DejaVu Sans Mono"/>
          <w:b w:val="0"/>
          <w:i w:val="0"/>
          <w:sz w:val="17"/>
        </w:rPr>
        <w:t>secondary.x</w:t>
      </w:r>
      <w:r>
        <w:rPr>
          <w:b w:val="0"/>
          <w:i w:val="0"/>
        </w:rPr>
        <w:t xml:space="preserve">. The maximum simultaneous charge and discharge, </w:t>
      </w:r>
      <w:r>
        <w:rPr>
          <w:rFonts w:ascii="DejaVu Sans Mono" w:hAnsi="DejaVu Sans Mono"/>
          <w:b w:val="0"/>
          <w:i w:val="0"/>
          <w:sz w:val="17"/>
        </w:rPr>
        <w:t>simultaneous</w:t>
      </w:r>
      <w:r>
        <w:rPr>
          <w:b w:val="0"/>
          <w:i w:val="0"/>
        </w:rPr>
        <w:t xml:space="preserve">, must be at most </w:t>
      </w:r>
      <w:r>
        <w:drawing>
          <wp:inline xmlns:a="http://schemas.openxmlformats.org/drawingml/2006/main" xmlns:pic="http://schemas.openxmlformats.org/drawingml/2006/picture">
            <wp:extent cx="328247" cy="146617"/>
            <wp:docPr id="168" name="Picture 168"/>
            <wp:cNvGraphicFramePr>
              <a:graphicFrameLocks noChangeAspect="1"/>
            </wp:cNvGraphicFramePr>
            <a:graphic>
              <a:graphicData uri="http://schemas.openxmlformats.org/drawingml/2006/picture">
                <pic:pic>
                  <pic:nvPicPr>
                    <pic:cNvPr id="0" name="eq-153.png"/>
                    <pic:cNvPicPr/>
                  </pic:nvPicPr>
                  <pic:blipFill>
                    <a:blip r:embed="rId142"/>
                    <a:stretch>
                      <a:fillRect/>
                    </a:stretch>
                  </pic:blipFill>
                  <pic:spPr>
                    <a:xfrm>
                      <a:off x="0" y="0"/>
                      <a:ext cx="328247" cy="146617"/>
                    </a:xfrm>
                    <a:prstGeom prst="rect"/>
                  </pic:spPr>
                </pic:pic>
              </a:graphicData>
            </a:graphic>
          </wp:inline>
        </w:drawing>
      </w:r>
      <w:r>
        <w:rPr>
          <w:b w:val="0"/>
          <w:i w:val="0"/>
        </w:rPr>
        <w:t xml:space="preserve"> MWh. Unused renewable energy is availability less accepted resource supply.</w:t>
      </w:r>
    </w:p>
    <w:p>
      <w:r>
        <w:rPr>
          <w:b w:val="0"/>
          <w:i w:val="0"/>
        </w:rPr>
        <w:t xml:space="preserve">The demand-balance dual of the first optimum gives the marginal operating cost of period demand, displayed as “Balance shadow price”. Revenue multiplies the demand-balance dual in GBP/MWh by accepted MWh; storage earns the dual multiplied by discharge less charge. Consumer payment uses supplied demand. System cost adds annualised capital and the fixed operation and maintenance of non-wind, non-solar and non-storage assets to variable expenditure, degradation and shortage cost. The fixed-cost input is </w:t>
      </w:r>
      <w:r>
        <w:rPr>
          <w:rFonts w:ascii="DejaVu Sans Mono" w:hAnsi="DejaVu Sans Mono"/>
          <w:b w:val="0"/>
          <w:i w:val="0"/>
          <w:sz w:val="17"/>
        </w:rPr>
        <w:t>annual_fixed_opex_gbp</w:t>
      </w:r>
      <w:r>
        <w:rPr>
          <w:b w:val="0"/>
          <w:i w:val="0"/>
        </w:rPr>
        <w:t>; wind, solar and storage fixed operation and maintenance remains a memo line under Chapter 6.</w:t>
      </w:r>
    </w:p>
    <w:p>
      <w:pPr>
        <w:keepLines/>
        <w:spacing w:line="276" w:lineRule="auto" w:after="160"/>
      </w:pPr>
      <w:r>
        <w:rPr>
          <w:rFonts w:ascii="DejaVu Sans Mono" w:hAnsi="DejaVu Sans Mono"/>
          <w:b w:val="0"/>
          <w:i w:val="0"/>
          <w:sz w:val="17"/>
        </w:rPr>
        <w:t>PerfectForesightPSM.run(model_​input):</w:t>
        <w:br/>
        <w:t xml:space="preserve">    data = model_input.chronology</w:t>
        <w:br/>
        <w:t xml:space="preserve">    validate_​chronology(data, model_​input.period_​hours)</w:t>
        <w:br/>
        <w:t xml:space="preserve">    _availability(...) and _marginal_costs(...): expand inputs to every period</w:t>
        <w:br/>
        <w:t xml:space="preserve">    _layout(data): allocate resource, charge, discharge, soc and blackout</w:t>
        <w:br/>
        <w:t xml:space="preserve">    assemble objective, throughput_objective, equality, rhs and bounds</w:t>
        <w:br/>
        <w:t xml:space="preserve">    primary = linprog(objective, A_eq=equality, b_eq=rhs,</w:t>
        <w:br/>
        <w:t xml:space="preserve">                      bounds=bounds, method="highs")</w:t>
        <w:br/>
        <w:t xml:space="preserve">    primary_tolerance = max(1e-7, abs(primary.fun) * 1e-10)</w:t>
        <w:br/>
        <w:t xml:space="preserve">    secondary = linprog(</w:t>
        <w:br/>
        <w:t xml:space="preserve">        throughput_objective, A_​ub=objective.reshape(1, -1),</w:t>
        <w:br/>
        <w:t xml:space="preserve">        b_ub=[primary.fun + primary_tolerance], A_eq=equality, b_eq=rhs,</w:t>
        <w:br/>
        <w:t xml:space="preserve">        bounds=bounds, method="highs")</w:t>
        <w:br/>
        <w:t xml:space="preserve">    extract resource_period, charge_period and discharge_period</w:t>
        <w:br/>
        <w:t xml:space="preserve">    extract soc_period and blackout</w:t>
        <w:br/>
        <w:t xml:space="preserve">    check balance and simultaneous storage operation</w:t>
        <w:br/>
        <w:t xml:space="preserve">    return costs and demand duals</w:t>
        <w:br/>
      </w:r>
    </w:p>
    <w:p>
      <w:pPr>
        <w:pStyle w:val="Heading2"/>
      </w:pPr>
      <w:r>
        <w:rPr>
          <w:b w:val="0"/>
          <w:i w:val="0"/>
        </w:rPr>
        <w:t>Available run-of-river electricity</w:t>
      </w:r>
    </w:p>
    <w:p>
      <w:r>
        <w:rPr>
          <w:b w:val="0"/>
          <w:i w:val="0"/>
        </w:rPr>
        <w:t xml:space="preserve">The natural-hydrology method derives available electricity from an inflow series and site parameters. </w:t>
      </w:r>
      <w:r>
        <w:rPr>
          <w:rFonts w:ascii="DejaVu Sans Mono" w:hAnsi="DejaVu Sans Mono"/>
          <w:b w:val="0"/>
          <w:i w:val="0"/>
          <w:sz w:val="17"/>
        </w:rPr>
        <w:t>run_of_river_dispatch</w:t>
      </w:r>
      <w:r>
        <w:rPr>
          <w:b w:val="0"/>
          <w:i w:val="0"/>
        </w:rPr>
        <w:t xml:space="preserve"> reads </w:t>
      </w:r>
      <w:r>
        <w:rPr>
          <w:rFonts w:ascii="DejaVu Sans Mono" w:hAnsi="DejaVu Sans Mono"/>
          <w:b w:val="0"/>
          <w:i w:val="0"/>
          <w:sz w:val="17"/>
        </w:rPr>
        <w:t>HydroSite</w:t>
      </w:r>
      <w:r>
        <w:rPr>
          <w:b w:val="0"/>
          <w:i w:val="0"/>
        </w:rPr>
        <w:t xml:space="preserve"> and </w:t>
      </w:r>
      <w:r>
        <w:rPr>
          <w:rFonts w:ascii="DejaVu Sans Mono" w:hAnsi="DejaVu Sans Mono"/>
          <w:b w:val="0"/>
          <w:i w:val="0"/>
          <w:sz w:val="17"/>
        </w:rPr>
        <w:t>CanonicalInflow</w:t>
      </w:r>
      <w:r>
        <w:rPr>
          <w:b w:val="0"/>
          <w:i w:val="0"/>
        </w:rPr>
        <w:t>; the default national PSM uses the statistical load factor and seasonal profile in Chapter 5.</w:t>
      </w:r>
    </w:p>
    <w:p>
      <w:pPr>
        <w:keepNext/>
      </w:pPr>
      <w:r>
        <w:rPr>
          <w:b w:val="0"/>
          <w:i w:val="0"/>
        </w:rPr>
        <w:t xml:space="preserve">A normalised electrical availability input scales installed power over the period. With </w:t>
      </w:r>
      <w:r>
        <w:rPr>
          <w:rFonts w:ascii="DejaVu Sans Mono" w:hAnsi="DejaVu Sans Mono"/>
          <w:b w:val="0"/>
          <w:i w:val="0"/>
          <w:sz w:val="17"/>
        </w:rPr>
        <w:t>inflow.unit = p.u.</w:t>
      </w:r>
      <w:r>
        <w:rPr>
          <w:b w:val="0"/>
          <w:i w:val="0"/>
        </w:rPr>
        <w:t xml:space="preserve">, </w:t>
      </w:r>
      <w:r>
        <w:rPr>
          <w:rFonts w:ascii="DejaVu Sans Mono" w:hAnsi="DejaVu Sans Mono"/>
          <w:b w:val="0"/>
          <w:i w:val="0"/>
          <w:sz w:val="17"/>
        </w:rPr>
        <w:t>inflow.values</w:t>
      </w:r>
      <w:r>
        <w:rPr>
          <w:b w:val="0"/>
          <w:i w:val="0"/>
        </w:rPr>
        <w:t xml:space="preserve"> lies in </w:t>
      </w:r>
      <w:r>
        <w:drawing>
          <wp:inline xmlns:a="http://schemas.openxmlformats.org/drawingml/2006/main" xmlns:pic="http://schemas.openxmlformats.org/drawingml/2006/picture">
            <wp:extent cx="330511" cy="164161"/>
            <wp:docPr id="169" name="Picture 169"/>
            <wp:cNvGraphicFramePr>
              <a:graphicFrameLocks noChangeAspect="1"/>
            </wp:cNvGraphicFramePr>
            <a:graphic>
              <a:graphicData uri="http://schemas.openxmlformats.org/drawingml/2006/picture">
                <pic:pic>
                  <pic:nvPicPr>
                    <pic:cNvPr id="0" name="eq-139.png"/>
                    <pic:cNvPicPr/>
                  </pic:nvPicPr>
                  <pic:blipFill>
                    <a:blip r:embed="rId132"/>
                    <a:stretch>
                      <a:fillRect/>
                    </a:stretch>
                  </pic:blipFill>
                  <pic:spPr>
                    <a:xfrm>
                      <a:off x="0" y="0"/>
                      <a:ext cx="330511" cy="164161"/>
                    </a:xfrm>
                    <a:prstGeom prst="rect"/>
                  </pic:spPr>
                </pic:pic>
              </a:graphicData>
            </a:graphic>
          </wp:inline>
        </w:drawing>
      </w:r>
      <w:r>
        <w:rPr>
          <w:b w:val="0"/>
          <w:i w:val="0"/>
        </w:rPr>
        <w:t xml:space="preserve">, </w:t>
      </w:r>
      <w:r>
        <w:rPr>
          <w:rFonts w:ascii="DejaVu Sans Mono" w:hAnsi="DejaVu Sans Mono"/>
          <w:b w:val="0"/>
          <w:i w:val="0"/>
          <w:sz w:val="17"/>
        </w:rPr>
        <w:t>capacity_mw</w:t>
      </w:r>
      <w:r>
        <w:rPr>
          <w:b w:val="0"/>
          <w:i w:val="0"/>
        </w:rPr>
        <w:t xml:space="preserve"> is MW and </w:t>
      </w:r>
      <w:r>
        <w:rPr>
          <w:rFonts w:ascii="DejaVu Sans Mono" w:hAnsi="DejaVu Sans Mono"/>
          <w:b w:val="0"/>
          <w:i w:val="0"/>
          <w:sz w:val="17"/>
        </w:rPr>
        <w:t>interval_hours</w:t>
      </w:r>
      <w:r>
        <w:rPr>
          <w:b w:val="0"/>
          <w:i w:val="0"/>
        </w:rPr>
        <w:t xml:space="preserve"> is hours:</w:t>
      </w:r>
    </w:p>
    <w:p>
      <w:pPr>
        <w:spacing w:after="160"/>
        <w:jc w:val="center"/>
      </w:pPr>
      <w:r>
        <w:drawing>
          <wp:inline xmlns:a="http://schemas.openxmlformats.org/drawingml/2006/main" xmlns:pic="http://schemas.openxmlformats.org/drawingml/2006/picture">
            <wp:extent cx="3215563" cy="395375"/>
            <wp:docPr id="170" name="Picture 170"/>
            <wp:cNvGraphicFramePr>
              <a:graphicFrameLocks noChangeAspect="1"/>
            </wp:cNvGraphicFramePr>
            <a:graphic>
              <a:graphicData uri="http://schemas.openxmlformats.org/drawingml/2006/picture">
                <pic:pic>
                  <pic:nvPicPr>
                    <pic:cNvPr id="0" name="eq-170.png"/>
                    <pic:cNvPicPr/>
                  </pic:nvPicPr>
                  <pic:blipFill>
                    <a:blip r:embed="rId153"/>
                    <a:stretch>
                      <a:fillRect/>
                    </a:stretch>
                  </pic:blipFill>
                  <pic:spPr>
                    <a:xfrm>
                      <a:off x="0" y="0"/>
                      <a:ext cx="3215563" cy="395375"/>
                    </a:xfrm>
                    <a:prstGeom prst="rect"/>
                  </pic:spPr>
                </pic:pic>
              </a:graphicData>
            </a:graphic>
          </wp:inline>
        </w:drawing>
      </w:r>
    </w:p>
    <w:p>
      <w:pPr>
        <w:keepNext/>
      </w:pPr>
      <w:r>
        <w:rPr>
          <w:b w:val="0"/>
          <w:i w:val="0"/>
        </w:rPr>
        <w:t>A water-volume input is converted through the site's turbine efficiency and MWh per water unit, then limited by electric power:</w:t>
      </w:r>
    </w:p>
    <w:p>
      <w:pPr>
        <w:spacing w:after="160"/>
        <w:jc w:val="center"/>
      </w:pPr>
      <w:r>
        <w:drawing>
          <wp:inline xmlns:a="http://schemas.openxmlformats.org/drawingml/2006/main" xmlns:pic="http://schemas.openxmlformats.org/drawingml/2006/picture">
            <wp:extent cx="6217920" cy="440725"/>
            <wp:docPr id="171" name="Picture 171"/>
            <wp:cNvGraphicFramePr>
              <a:graphicFrameLocks noChangeAspect="1"/>
            </wp:cNvGraphicFramePr>
            <a:graphic>
              <a:graphicData uri="http://schemas.openxmlformats.org/drawingml/2006/picture">
                <pic:pic>
                  <pic:nvPicPr>
                    <pic:cNvPr id="0" name="eq-171.png"/>
                    <pic:cNvPicPr/>
                  </pic:nvPicPr>
                  <pic:blipFill>
                    <a:blip r:embed="rId154"/>
                    <a:stretch>
                      <a:fillRect/>
                    </a:stretch>
                  </pic:blipFill>
                  <pic:spPr>
                    <a:xfrm>
                      <a:off x="0" y="0"/>
                      <a:ext cx="6217920" cy="440725"/>
                    </a:xfrm>
                    <a:prstGeom prst="rect"/>
                  </pic:spPr>
                </pic:pic>
              </a:graphicData>
            </a:graphic>
          </wp:inline>
        </w:drawing>
      </w:r>
    </w:p>
    <w:p>
      <w:r>
        <w:rPr>
          <w:b w:val="0"/>
          <w:i w:val="0"/>
        </w:rPr>
        <w:t xml:space="preserve">Accepted generation lies between zero and </w:t>
      </w:r>
      <w:r>
        <w:rPr>
          <w:rFonts w:ascii="DejaVu Sans Mono" w:hAnsi="DejaVu Sans Mono"/>
          <w:b w:val="0"/>
          <w:i w:val="0"/>
          <w:sz w:val="17"/>
        </w:rPr>
        <w:t>available</w:t>
      </w:r>
      <w:r>
        <w:rPr>
          <w:b w:val="0"/>
          <w:i w:val="0"/>
        </w:rPr>
        <w:t xml:space="preserve">; the default accepts all available electricity. </w:t>
      </w:r>
      <w:r>
        <w:rPr>
          <w:rFonts w:ascii="DejaVu Sans Mono" w:hAnsi="DejaVu Sans Mono"/>
          <w:b w:val="0"/>
          <w:i w:val="0"/>
          <w:sz w:val="17"/>
        </w:rPr>
        <w:t>curtailed</w:t>
      </w:r>
      <w:r>
        <w:rPr>
          <w:b w:val="0"/>
          <w:i w:val="0"/>
        </w:rPr>
        <w:t xml:space="preserve"> is the remaining electrical potential. These arrays become </w:t>
      </w:r>
      <w:r>
        <w:rPr>
          <w:rFonts w:ascii="DejaVu Sans Mono" w:hAnsi="DejaVu Sans Mono"/>
          <w:b w:val="0"/>
          <w:i w:val="0"/>
          <w:sz w:val="17"/>
        </w:rPr>
        <w:t>available_energy_mwh</w:t>
      </w:r>
      <w:r>
        <w:rPr>
          <w:b w:val="0"/>
          <w:i w:val="0"/>
        </w:rPr>
        <w:t xml:space="preserve">, </w:t>
      </w:r>
      <w:r>
        <w:rPr>
          <w:rFonts w:ascii="DejaVu Sans Mono" w:hAnsi="DejaVu Sans Mono"/>
          <w:b w:val="0"/>
          <w:i w:val="0"/>
          <w:sz w:val="17"/>
        </w:rPr>
        <w:t>accepted_generation_mwh</w:t>
      </w:r>
      <w:r>
        <w:rPr>
          <w:b w:val="0"/>
          <w:i w:val="0"/>
        </w:rPr>
        <w:t xml:space="preserve"> and </w:t>
      </w:r>
      <w:r>
        <w:rPr>
          <w:rFonts w:ascii="DejaVu Sans Mono" w:hAnsi="DejaVu Sans Mono"/>
          <w:b w:val="0"/>
          <w:i w:val="0"/>
          <w:sz w:val="17"/>
        </w:rPr>
        <w:t>curtailed_energy_mwh</w:t>
      </w:r>
      <w:r>
        <w:rPr>
          <w:b w:val="0"/>
          <w:i w:val="0"/>
        </w:rPr>
        <w:t xml:space="preserve"> in the returned result. A 10 MW site over 0.5 h with factors </w:t>
      </w:r>
      <w:r>
        <w:drawing>
          <wp:inline xmlns:a="http://schemas.openxmlformats.org/drawingml/2006/main" xmlns:pic="http://schemas.openxmlformats.org/drawingml/2006/picture">
            <wp:extent cx="615162" cy="164189"/>
            <wp:docPr id="172" name="Picture 172"/>
            <wp:cNvGraphicFramePr>
              <a:graphicFrameLocks noChangeAspect="1"/>
            </wp:cNvGraphicFramePr>
            <a:graphic>
              <a:graphicData uri="http://schemas.openxmlformats.org/drawingml/2006/picture">
                <pic:pic>
                  <pic:nvPicPr>
                    <pic:cNvPr id="0" name="eq-172.png"/>
                    <pic:cNvPicPr/>
                  </pic:nvPicPr>
                  <pic:blipFill>
                    <a:blip r:embed="rId155"/>
                    <a:stretch>
                      <a:fillRect/>
                    </a:stretch>
                  </pic:blipFill>
                  <pic:spPr>
                    <a:xfrm>
                      <a:off x="0" y="0"/>
                      <a:ext cx="615162" cy="164189"/>
                    </a:xfrm>
                    <a:prstGeom prst="rect"/>
                  </pic:spPr>
                </pic:pic>
              </a:graphicData>
            </a:graphic>
          </wp:inline>
        </w:drawing>
      </w:r>
      <w:r>
        <w:rPr>
          <w:b w:val="0"/>
          <w:i w:val="0"/>
        </w:rPr>
        <w:t xml:space="preserve"> supplies </w:t>
      </w:r>
      <w:r>
        <w:drawing>
          <wp:inline xmlns:a="http://schemas.openxmlformats.org/drawingml/2006/main" xmlns:pic="http://schemas.openxmlformats.org/drawingml/2006/picture">
            <wp:extent cx="615162" cy="164189"/>
            <wp:docPr id="173" name="Picture 173"/>
            <wp:cNvGraphicFramePr>
              <a:graphicFrameLocks noChangeAspect="1"/>
            </wp:cNvGraphicFramePr>
            <a:graphic>
              <a:graphicData uri="http://schemas.openxmlformats.org/drawingml/2006/picture">
                <pic:pic>
                  <pic:nvPicPr>
                    <pic:cNvPr id="0" name="eq-173.png"/>
                    <pic:cNvPicPr/>
                  </pic:nvPicPr>
                  <pic:blipFill>
                    <a:blip r:embed="rId156"/>
                    <a:stretch>
                      <a:fillRect/>
                    </a:stretch>
                  </pic:blipFill>
                  <pic:spPr>
                    <a:xfrm>
                      <a:off x="0" y="0"/>
                      <a:ext cx="615162" cy="164189"/>
                    </a:xfrm>
                    <a:prstGeom prst="rect"/>
                  </pic:spPr>
                </pic:pic>
              </a:graphicData>
            </a:graphic>
          </wp:inline>
        </w:drawing>
      </w:r>
      <w:r>
        <w:rPr>
          <w:b w:val="0"/>
          <w:i w:val="0"/>
        </w:rPr>
        <w:t xml:space="preserve"> MWh. This calculation operates independently in each period.</w:t>
      </w:r>
    </w:p>
    <w:p>
      <w:pPr>
        <w:pStyle w:val="Heading2"/>
      </w:pPr>
      <w:r>
        <w:rPr>
          <w:b w:val="0"/>
          <w:i w:val="0"/>
        </w:rPr>
        <w:t>Conventional reservoir dispatch</w:t>
      </w:r>
    </w:p>
    <w:p>
      <w:pPr>
        <w:keepNext/>
      </w:pPr>
      <w:r>
        <w:rPr>
          <w:b w:val="0"/>
          <w:i w:val="0"/>
        </w:rPr>
        <w:t xml:space="preserve">A conventional reservoir allocates water across the complete inflow and electricity-value chronology to maximise generation value. </w:t>
      </w:r>
      <w:r>
        <w:rPr>
          <w:rFonts w:ascii="DejaVu Sans Mono" w:hAnsi="DejaVu Sans Mono"/>
          <w:b w:val="0"/>
          <w:i w:val="0"/>
          <w:sz w:val="17"/>
        </w:rPr>
        <w:t>reservoir_dispatch</w:t>
      </w:r>
      <w:r>
        <w:rPr>
          <w:b w:val="0"/>
          <w:i w:val="0"/>
        </w:rPr>
        <w:t xml:space="preserve"> uses four period variables: turbine release </w:t>
      </w:r>
      <w:r>
        <w:rPr>
          <w:rFonts w:ascii="DejaVu Sans Mono" w:hAnsi="DejaVu Sans Mono"/>
          <w:b w:val="0"/>
          <w:i w:val="0"/>
          <w:sz w:val="17"/>
        </w:rPr>
        <w:t>q</w:t>
      </w:r>
      <w:r>
        <w:rPr>
          <w:b w:val="0"/>
          <w:i w:val="0"/>
        </w:rPr>
        <w:t xml:space="preserve">, ecological </w:t>
      </w:r>
      <w:r>
        <w:rPr>
          <w:rFonts w:ascii="DejaVu Sans Mono" w:hAnsi="DejaVu Sans Mono"/>
          <w:b w:val="0"/>
          <w:i w:val="0"/>
          <w:sz w:val="17"/>
        </w:rPr>
        <w:t>bypass</w:t>
      </w:r>
      <w:r>
        <w:rPr>
          <w:b w:val="0"/>
          <w:i w:val="0"/>
        </w:rPr>
        <w:t xml:space="preserve">, </w:t>
      </w:r>
      <w:r>
        <w:rPr>
          <w:rFonts w:ascii="DejaVu Sans Mono" w:hAnsi="DejaVu Sans Mono"/>
          <w:b w:val="0"/>
          <w:i w:val="0"/>
          <w:sz w:val="17"/>
        </w:rPr>
        <w:t>spill</w:t>
      </w:r>
      <w:r>
        <w:rPr>
          <w:b w:val="0"/>
          <w:i w:val="0"/>
        </w:rPr>
        <w:t xml:space="preserve"> and end-period </w:t>
      </w:r>
      <w:r>
        <w:rPr>
          <w:rFonts w:ascii="DejaVu Sans Mono" w:hAnsi="DejaVu Sans Mono"/>
          <w:b w:val="0"/>
          <w:i w:val="0"/>
          <w:sz w:val="17"/>
        </w:rPr>
        <w:t>storage</w:t>
      </w:r>
      <w:r>
        <w:rPr>
          <w:b w:val="0"/>
          <w:i w:val="0"/>
        </w:rPr>
        <w:t>. All four use the declared water unit; the first three are volumes within the period. The conversion to electricity is</w:t>
      </w:r>
    </w:p>
    <w:p>
      <w:pPr>
        <w:spacing w:after="160"/>
        <w:jc w:val="center"/>
      </w:pPr>
      <w:r>
        <w:drawing>
          <wp:inline xmlns:a="http://schemas.openxmlformats.org/drawingml/2006/main" xmlns:pic="http://schemas.openxmlformats.org/drawingml/2006/picture">
            <wp:extent cx="6217920" cy="135540"/>
            <wp:docPr id="174" name="Picture 174"/>
            <wp:cNvGraphicFramePr>
              <a:graphicFrameLocks noChangeAspect="1"/>
            </wp:cNvGraphicFramePr>
            <a:graphic>
              <a:graphicData uri="http://schemas.openxmlformats.org/drawingml/2006/picture">
                <pic:pic>
                  <pic:nvPicPr>
                    <pic:cNvPr id="0" name="eq-174.png"/>
                    <pic:cNvPicPr/>
                  </pic:nvPicPr>
                  <pic:blipFill>
                    <a:blip r:embed="rId157"/>
                    <a:stretch>
                      <a:fillRect/>
                    </a:stretch>
                  </pic:blipFill>
                  <pic:spPr>
                    <a:xfrm>
                      <a:off x="0" y="0"/>
                      <a:ext cx="6217920" cy="135540"/>
                    </a:xfrm>
                    <a:prstGeom prst="rect"/>
                  </pic:spPr>
                </pic:pic>
              </a:graphicData>
            </a:graphic>
          </wp:inline>
        </w:drawing>
      </w:r>
    </w:p>
    <w:p>
      <w:pPr>
        <w:keepNext/>
      </w:pPr>
      <w:r>
        <w:rPr>
          <w:b w:val="0"/>
          <w:i w:val="0"/>
        </w:rPr>
        <w:t xml:space="preserve">The linear programme minimises the negative value of generation plus a small spill penalty. </w:t>
      </w:r>
      <w:r>
        <w:rPr>
          <w:rFonts w:ascii="DejaVu Sans Mono" w:hAnsi="DejaVu Sans Mono"/>
          <w:b w:val="0"/>
          <w:i w:val="0"/>
          <w:sz w:val="17"/>
        </w:rPr>
        <w:t>energy_​value_​gbp_​per_​mwh</w:t>
      </w:r>
      <w:r>
        <w:rPr>
          <w:b w:val="0"/>
          <w:i w:val="0"/>
        </w:rPr>
        <w:t xml:space="preserve"> is an externally supplied electricity-value series:</w:t>
      </w:r>
    </w:p>
    <w:p>
      <w:pPr>
        <w:spacing w:after="160"/>
        <w:jc w:val="center"/>
      </w:pPr>
      <w:r>
        <w:drawing>
          <wp:inline xmlns:a="http://schemas.openxmlformats.org/drawingml/2006/main" xmlns:pic="http://schemas.openxmlformats.org/drawingml/2006/picture">
            <wp:extent cx="5587974" cy="365825"/>
            <wp:docPr id="175" name="Picture 175"/>
            <wp:cNvGraphicFramePr>
              <a:graphicFrameLocks noChangeAspect="1"/>
            </wp:cNvGraphicFramePr>
            <a:graphic>
              <a:graphicData uri="http://schemas.openxmlformats.org/drawingml/2006/picture">
                <pic:pic>
                  <pic:nvPicPr>
                    <pic:cNvPr id="0" name="eq-175.png"/>
                    <pic:cNvPicPr/>
                  </pic:nvPicPr>
                  <pic:blipFill>
                    <a:blip r:embed="rId158"/>
                    <a:stretch>
                      <a:fillRect/>
                    </a:stretch>
                  </pic:blipFill>
                  <pic:spPr>
                    <a:xfrm>
                      <a:off x="0" y="0"/>
                      <a:ext cx="5587974" cy="365825"/>
                    </a:xfrm>
                    <a:prstGeom prst="rect"/>
                  </pic:spPr>
                </pic:pic>
              </a:graphicData>
            </a:graphic>
          </wp:inline>
        </w:drawing>
      </w:r>
    </w:p>
    <w:p>
      <w:pPr>
        <w:keepNext/>
      </w:pPr>
      <w:r>
        <w:rPr>
          <w:b w:val="0"/>
          <w:i w:val="0"/>
        </w:rPr>
        <w:t xml:space="preserve">Water continuity links successive inventories and inflows. The first period starts from </w:t>
      </w:r>
      <w:r>
        <w:rPr>
          <w:rFonts w:ascii="DejaVu Sans Mono" w:hAnsi="DejaVu Sans Mono"/>
          <w:b w:val="0"/>
          <w:i w:val="0"/>
          <w:sz w:val="17"/>
        </w:rPr>
        <w:t>initial_volume</w:t>
      </w:r>
      <w:r>
        <w:rPr>
          <w:b w:val="0"/>
          <w:i w:val="0"/>
        </w:rPr>
        <w:t>:</w:t>
      </w:r>
    </w:p>
    <w:p>
      <w:pPr>
        <w:spacing w:after="160"/>
        <w:jc w:val="center"/>
      </w:pPr>
      <w:r>
        <w:drawing>
          <wp:inline xmlns:a="http://schemas.openxmlformats.org/drawingml/2006/main" xmlns:pic="http://schemas.openxmlformats.org/drawingml/2006/picture">
            <wp:extent cx="4691405" cy="404668"/>
            <wp:docPr id="176" name="Picture 176"/>
            <wp:cNvGraphicFramePr>
              <a:graphicFrameLocks noChangeAspect="1"/>
            </wp:cNvGraphicFramePr>
            <a:graphic>
              <a:graphicData uri="http://schemas.openxmlformats.org/drawingml/2006/picture">
                <pic:pic>
                  <pic:nvPicPr>
                    <pic:cNvPr id="0" name="eq-176.png"/>
                    <pic:cNvPicPr/>
                  </pic:nvPicPr>
                  <pic:blipFill>
                    <a:blip r:embed="rId159"/>
                    <a:stretch>
                      <a:fillRect/>
                    </a:stretch>
                  </pic:blipFill>
                  <pic:spPr>
                    <a:xfrm>
                      <a:off x="0" y="0"/>
                      <a:ext cx="4691405" cy="404668"/>
                    </a:xfrm>
                    <a:prstGeom prst="rect"/>
                  </pic:spPr>
                </pic:pic>
              </a:graphicData>
            </a:graphic>
          </wp:inline>
        </w:drawing>
      </w:r>
    </w:p>
    <w:p>
      <w:pPr>
        <w:keepNext/>
      </w:pPr>
      <w:r>
        <w:rPr>
          <w:b w:val="0"/>
          <w:i w:val="0"/>
        </w:rPr>
        <w:t>Turbine, ordinary-release and ecological bounds restrict the use of water:</w:t>
      </w:r>
    </w:p>
    <w:p>
      <w:pPr>
        <w:spacing w:after="160"/>
        <w:jc w:val="center"/>
      </w:pPr>
      <w:r>
        <w:drawing>
          <wp:inline xmlns:a="http://schemas.openxmlformats.org/drawingml/2006/main" xmlns:pic="http://schemas.openxmlformats.org/drawingml/2006/picture">
            <wp:extent cx="6217920" cy="498607"/>
            <wp:docPr id="177" name="Picture 177"/>
            <wp:cNvGraphicFramePr>
              <a:graphicFrameLocks noChangeAspect="1"/>
            </wp:cNvGraphicFramePr>
            <a:graphic>
              <a:graphicData uri="http://schemas.openxmlformats.org/drawingml/2006/picture">
                <pic:pic>
                  <pic:nvPicPr>
                    <pic:cNvPr id="0" name="eq-177.png"/>
                    <pic:cNvPicPr/>
                  </pic:nvPicPr>
                  <pic:blipFill>
                    <a:blip r:embed="rId160"/>
                    <a:stretch>
                      <a:fillRect/>
                    </a:stretch>
                  </pic:blipFill>
                  <pic:spPr>
                    <a:xfrm>
                      <a:off x="0" y="0"/>
                      <a:ext cx="6217920" cy="498607"/>
                    </a:xfrm>
                    <a:prstGeom prst="rect"/>
                  </pic:spPr>
                </pic:pic>
              </a:graphicData>
            </a:graphic>
          </wp:inline>
        </w:drawing>
      </w:r>
    </w:p>
    <w:p>
      <w:r>
        <w:rPr>
          <w:b w:val="0"/>
          <w:i w:val="0"/>
        </w:rPr>
        <w:t xml:space="preserve">The ordinary-release bound and ecological minimum apply to turbine release plus bypass; spill enters water balance separately. A supplied </w:t>
      </w:r>
      <w:r>
        <w:rPr>
          <w:rFonts w:ascii="DejaVu Sans Mono" w:hAnsi="DejaVu Sans Mono"/>
          <w:b w:val="0"/>
          <w:i w:val="0"/>
          <w:sz w:val="17"/>
        </w:rPr>
        <w:t>terminal_volume</w:t>
      </w:r>
      <w:r>
        <w:rPr>
          <w:b w:val="0"/>
          <w:i w:val="0"/>
        </w:rPr>
        <w:t xml:space="preserve"> fixes final inventory; otherwise final inventory remains within </w:t>
      </w:r>
      <w:r>
        <w:rPr>
          <w:rFonts w:ascii="DejaVu Sans Mono" w:hAnsi="DejaVu Sans Mono"/>
          <w:b w:val="0"/>
          <w:i w:val="0"/>
          <w:sz w:val="17"/>
        </w:rPr>
        <w:t>min_volume</w:t>
      </w:r>
      <w:r>
        <w:rPr>
          <w:b w:val="0"/>
          <w:i w:val="0"/>
        </w:rPr>
        <w:t xml:space="preserve"> and </w:t>
      </w:r>
      <w:r>
        <w:rPr>
          <w:rFonts w:ascii="DejaVu Sans Mono" w:hAnsi="DejaVu Sans Mono"/>
          <w:b w:val="0"/>
          <w:i w:val="0"/>
          <w:sz w:val="17"/>
        </w:rPr>
        <w:t>max_volume</w:t>
      </w:r>
      <w:r>
        <w:rPr>
          <w:b w:val="0"/>
          <w:i w:val="0"/>
        </w:rPr>
        <w:t xml:space="preserve">. The parameter check requires maximum total release to be at least maximum turbine release and electricity from maximum turbine release to be at most </w:t>
      </w:r>
      <w:r>
        <w:rPr>
          <w:rFonts w:ascii="DejaVu Sans Mono" w:hAnsi="DejaVu Sans Mono"/>
          <w:b w:val="0"/>
          <w:i w:val="0"/>
          <w:sz w:val="17"/>
        </w:rPr>
        <w:t>turbine_capacity_mw</w:t>
      </w:r>
      <w:r>
        <w:rPr>
          <w:b w:val="0"/>
          <w:i w:val="0"/>
        </w:rPr>
        <w:t xml:space="preserve"> multiplied by </w:t>
      </w:r>
      <w:r>
        <w:rPr>
          <w:rFonts w:ascii="DejaVu Sans Mono" w:hAnsi="DejaVu Sans Mono"/>
          <w:b w:val="0"/>
          <w:i w:val="0"/>
          <w:sz w:val="17"/>
        </w:rPr>
        <w:t>interval_hours</w:t>
      </w:r>
      <w:r>
        <w:rPr>
          <w:b w:val="0"/>
          <w:i w:val="0"/>
        </w:rPr>
        <w:t xml:space="preserve">, with tolerance </w:t>
      </w:r>
      <w:r>
        <w:drawing>
          <wp:inline xmlns:a="http://schemas.openxmlformats.org/drawingml/2006/main" xmlns:pic="http://schemas.openxmlformats.org/drawingml/2006/picture">
            <wp:extent cx="328247" cy="146617"/>
            <wp:docPr id="178" name="Picture 178"/>
            <wp:cNvGraphicFramePr>
              <a:graphicFrameLocks noChangeAspect="1"/>
            </wp:cNvGraphicFramePr>
            <a:graphic>
              <a:graphicData uri="http://schemas.openxmlformats.org/drawingml/2006/picture">
                <pic:pic>
                  <pic:nvPicPr>
                    <pic:cNvPr id="0" name="eq-089.png"/>
                    <pic:cNvPicPr/>
                  </pic:nvPicPr>
                  <pic:blipFill>
                    <a:blip r:embed="rId93"/>
                    <a:stretch>
                      <a:fillRect/>
                    </a:stretch>
                  </pic:blipFill>
                  <pic:spPr>
                    <a:xfrm>
                      <a:off x="0" y="0"/>
                      <a:ext cx="328247" cy="146617"/>
                    </a:xfrm>
                    <a:prstGeom prst="rect"/>
                  </pic:spPr>
                </pic:pic>
              </a:graphicData>
            </a:graphic>
          </wp:inline>
        </w:drawing>
      </w:r>
      <w:r>
        <w:rPr>
          <w:b w:val="0"/>
          <w:i w:val="0"/>
        </w:rPr>
        <w:t xml:space="preserve"> MWh.</w:t>
      </w:r>
    </w:p>
    <w:p>
      <w:r>
        <w:rPr>
          <w:b w:val="0"/>
          <w:i w:val="0"/>
        </w:rPr>
        <w:t xml:space="preserve">The solver reads the complete inflow and value series and solves one SciPy/HiGHS linear programme. A successful solution returns water trajectories, generation and conservation residuals; </w:t>
      </w:r>
      <w:r>
        <w:rPr>
          <w:rFonts w:ascii="DejaVu Sans Mono" w:hAnsi="DejaVu Sans Mono"/>
          <w:b w:val="0"/>
          <w:i w:val="0"/>
          <w:sz w:val="17"/>
        </w:rPr>
        <w:t>objective_gbp</w:t>
      </w:r>
      <w:r>
        <w:rPr>
          <w:b w:val="0"/>
          <w:i w:val="0"/>
        </w:rPr>
        <w:t xml:space="preserve"> is generation value less the spill penalty. An infeasible problem ends with the solver's failure result. The supplied inflow and electricity-value series determine the complete optimisation horizon.</w:t>
      </w:r>
    </w:p>
    <w:p>
      <w:pPr>
        <w:keepLines/>
        <w:spacing w:line="276" w:lineRule="auto" w:after="160"/>
      </w:pPr>
      <w:r>
        <w:rPr>
          <w:rFonts w:ascii="DejaVu Sans Mono" w:hAnsi="DejaVu Sans Mono"/>
          <w:b w:val="0"/>
          <w:i w:val="0"/>
          <w:sz w:val="17"/>
        </w:rPr>
        <w:t>reservoir_​dispatch(parameters, inflow, *, energy_​value_​gbp_​per_​mwh):</w:t>
        <w:br/>
        <w:t xml:space="preserve">    inflow.validate(); parameters.validate(inflow.interval_​hours)</w:t>
        <w:br/>
        <w:t xml:space="preserve">    conversion = (parameters.conversion_​mwh_​per_​water_​unit</w:t>
        <w:br/>
        <w:t xml:space="preserve">                  * parameters.turbine_​efficiency)</w:t>
        <w:br/>
        <w:t xml:space="preserve">    allocate q, bypass, spill and storage for every period</w:t>
        <w:br/>
        <w:t xml:space="preserve">    assemble objective, water equalities, release inequalities and bounds</w:t>
        <w:br/>
        <w:t xml:space="preserve">    use parameters.terminal_​volume as the final storage bound when supplied</w:t>
        <w:br/>
        <w:t xml:space="preserve">    solved = linprog(objective, A_ub=inequalities, b_ub=upper,</w:t>
        <w:br/>
        <w:t xml:space="preserve">                     A_eq=equalities, b_eq=rhs, bounds=bounds, method="highs")</w:t>
        <w:br/>
        <w:t xml:space="preserve">    generation = q * conversion</w:t>
        <w:br/>
        <w:t xml:space="preserve">    check previous + inflow.values[period] - q - bypass - spill - storage</w:t>
        <w:br/>
        <w:t xml:space="preserve">    return generation, water trajectories and residuals</w:t>
        <w:br/>
      </w:r>
    </w:p>
    <w:p>
      <w:pPr>
        <w:pStyle w:val="Heading2"/>
      </w:pPr>
      <w:r>
        <w:rPr>
          <w:b w:val="0"/>
          <w:i w:val="0"/>
        </w:rPr>
        <w:t>Hydrological input assembly</w:t>
      </w:r>
    </w:p>
    <w:p>
      <w:r>
        <w:rPr>
          <w:b w:val="0"/>
          <w:i w:val="0"/>
        </w:rPr>
        <w:t xml:space="preserve">Natural-hydrology inputs comprise the site table, asset-to-site mapping, run-of-river inflow, reservoir inflow and reservoir parameters. Sites declare technology, capacity, turbine efficiency, bus, source and licence. Pumped storage uses the electrical-storage model. Each asset is assigned to a site, with mapping shares in </w:t>
      </w:r>
      <w:r>
        <w:drawing>
          <wp:inline xmlns:a="http://schemas.openxmlformats.org/drawingml/2006/main" xmlns:pic="http://schemas.openxmlformats.org/drawingml/2006/picture">
            <wp:extent cx="348913" cy="164582"/>
            <wp:docPr id="179" name="Picture 179"/>
            <wp:cNvGraphicFramePr>
              <a:graphicFrameLocks noChangeAspect="1"/>
            </wp:cNvGraphicFramePr>
            <a:graphic>
              <a:graphicData uri="http://schemas.openxmlformats.org/drawingml/2006/picture">
                <pic:pic>
                  <pic:nvPicPr>
                    <pic:cNvPr id="0" name="eq-158.png"/>
                    <pic:cNvPicPr/>
                  </pic:nvPicPr>
                  <pic:blipFill>
                    <a:blip r:embed="rId146"/>
                    <a:stretch>
                      <a:fillRect/>
                    </a:stretch>
                  </pic:blipFill>
                  <pic:spPr>
                    <a:xfrm>
                      <a:off x="0" y="0"/>
                      <a:ext cx="348913" cy="164582"/>
                    </a:xfrm>
                    <a:prstGeom prst="rect"/>
                  </pic:spPr>
                </pic:pic>
              </a:graphicData>
            </a:graphic>
          </wp:inline>
        </w:drawing>
      </w:r>
      <w:r>
        <w:rPr>
          <w:b w:val="0"/>
          <w:i w:val="0"/>
        </w:rPr>
        <w:t xml:space="preserve"> and total shares per asset at most 1.</w:t>
      </w:r>
    </w:p>
    <w:p>
      <w:r>
        <w:rPr>
          <w:b w:val="0"/>
          <w:i w:val="0"/>
        </w:rPr>
        <w:t xml:space="preserve">Inflow CSV files provide timezone-aware timestamps, interval length, site identifiers, values and water or electrical-availability units. The adapter requires finite nonnegative values, unique timestamps and consistent units; a supplied expected chronology is checked period by period. Site, mapping and parameter tables accept JSON or CSV. The declared missing-value treatment is </w:t>
      </w:r>
      <w:r>
        <w:rPr>
          <w:rFonts w:ascii="DejaVu Sans Mono" w:hAnsi="DejaVu Sans Mono"/>
          <w:b w:val="0"/>
          <w:i w:val="0"/>
          <w:sz w:val="17"/>
        </w:rPr>
        <w:t>none</w:t>
      </w:r>
      <w:r>
        <w:rPr>
          <w:b w:val="0"/>
          <w:i w:val="0"/>
        </w:rPr>
        <w:t>.</w:t>
      </w:r>
    </w:p>
    <w:p>
      <w:r>
        <w:rPr>
          <w:rFonts w:ascii="DejaVu Sans Mono" w:hAnsi="DejaVu Sans Mono"/>
          <w:b w:val="0"/>
          <w:i w:val="0"/>
          <w:sz w:val="17"/>
        </w:rPr>
        <w:t>load_​hydrology_​inputs_​from_​pack</w:t>
      </w:r>
      <w:r>
        <w:rPr>
          <w:b w:val="0"/>
          <w:i w:val="0"/>
        </w:rPr>
        <w:t xml:space="preserve"> joins the site, mapping, inflow and parameter tables by </w:t>
      </w:r>
      <w:r>
        <w:rPr>
          <w:rFonts w:ascii="DejaVu Sans Mono" w:hAnsi="DejaVu Sans Mono"/>
          <w:b w:val="0"/>
          <w:i w:val="0"/>
          <w:sz w:val="17"/>
        </w:rPr>
        <w:t>site_id</w:t>
      </w:r>
      <w:r>
        <w:rPr>
          <w:b w:val="0"/>
          <w:i w:val="0"/>
        </w:rPr>
        <w:t xml:space="preserve">; </w:t>
      </w:r>
      <w:r>
        <w:rPr>
          <w:rFonts w:ascii="DejaVu Sans Mono" w:hAnsi="DejaVu Sans Mono"/>
          <w:b w:val="0"/>
          <w:i w:val="0"/>
          <w:sz w:val="17"/>
        </w:rPr>
        <w:t>adapt_hydrology_csv</w:t>
      </w:r>
      <w:r>
        <w:rPr>
          <w:b w:val="0"/>
          <w:i w:val="0"/>
        </w:rPr>
        <w:t xml:space="preserve"> preserves the declared interval and units. The independent function </w:t>
      </w:r>
      <w:r>
        <w:rPr>
          <w:rFonts w:ascii="DejaVu Sans Mono" w:hAnsi="DejaVu Sans Mono"/>
          <w:b w:val="0"/>
          <w:i w:val="0"/>
          <w:sz w:val="17"/>
        </w:rPr>
        <w:t>run_of_river_dispatch</w:t>
      </w:r>
      <w:r>
        <w:rPr>
          <w:b w:val="0"/>
          <w:i w:val="0"/>
        </w:rPr>
        <w:t xml:space="preserve"> accepts site and inflow records and returns </w:t>
      </w:r>
      <w:r>
        <w:rPr>
          <w:rFonts w:ascii="DejaVu Sans Mono" w:hAnsi="DejaVu Sans Mono"/>
          <w:b w:val="0"/>
          <w:i w:val="0"/>
          <w:sz w:val="17"/>
        </w:rPr>
        <w:t>available_energy_mwh</w:t>
      </w:r>
      <w:r>
        <w:rPr>
          <w:b w:val="0"/>
          <w:i w:val="0"/>
        </w:rPr>
        <w:t xml:space="preserve">, </w:t>
      </w:r>
      <w:r>
        <w:rPr>
          <w:rFonts w:ascii="DejaVu Sans Mono" w:hAnsi="DejaVu Sans Mono"/>
          <w:b w:val="0"/>
          <w:i w:val="0"/>
          <w:sz w:val="17"/>
        </w:rPr>
        <w:t>accepted_generation_mwh</w:t>
      </w:r>
      <w:r>
        <w:rPr>
          <w:b w:val="0"/>
          <w:i w:val="0"/>
        </w:rPr>
        <w:t xml:space="preserve"> and </w:t>
      </w:r>
      <w:r>
        <w:rPr>
          <w:rFonts w:ascii="DejaVu Sans Mono" w:hAnsi="DejaVu Sans Mono"/>
          <w:b w:val="0"/>
          <w:i w:val="0"/>
          <w:sz w:val="17"/>
        </w:rPr>
        <w:t>curtailed_energy_mwh</w:t>
      </w:r>
      <w:r>
        <w:rPr>
          <w:b w:val="0"/>
          <w:i w:val="0"/>
        </w:rPr>
        <w:t xml:space="preserve">, all in MWh. </w:t>
      </w:r>
      <w:r>
        <w:rPr>
          <w:rFonts w:ascii="DejaVu Sans Mono" w:hAnsi="DejaVu Sans Mono"/>
          <w:b w:val="0"/>
          <w:i w:val="0"/>
          <w:sz w:val="17"/>
        </w:rPr>
        <w:t>reservoir_dispatch</w:t>
      </w:r>
      <w:r>
        <w:rPr>
          <w:b w:val="0"/>
          <w:i w:val="0"/>
        </w:rPr>
        <w:t xml:space="preserve"> accepts reservoir parameters, inflow and electricity values, returning </w:t>
      </w:r>
      <w:r>
        <w:rPr>
          <w:rFonts w:ascii="DejaVu Sans Mono" w:hAnsi="DejaVu Sans Mono"/>
          <w:b w:val="0"/>
          <w:i w:val="0"/>
          <w:sz w:val="17"/>
        </w:rPr>
        <w:t>generation_mwh</w:t>
      </w:r>
      <w:r>
        <w:rPr>
          <w:b w:val="0"/>
          <w:i w:val="0"/>
        </w:rPr>
        <w:t xml:space="preserve"> in MWh and water trajectories in the declared water unit.</w:t>
      </w:r>
    </w:p>
    <w:p>
      <w:pPr>
        <w:pStyle w:val="Heading1"/>
      </w:pPr>
      <w:r>
        <w:rPr>
          <w:b w:val="0"/>
          <w:i w:val="0"/>
        </w:rPr>
        <w:t>9 Carbon accounting parameters</w:t>
      </w:r>
    </w:p>
    <w:p>
      <w:r>
        <w:rPr>
          <w:b w:val="0"/>
          <w:i w:val="0"/>
        </w:rPr>
        <w:t xml:space="preserve">VALUE calculates operational emissions and equipment-construction emissions separately before combining them under the selected accounting scenario. Operational emissions vary with generation and imported electricity, while construction emissions vary with installed capacity and the annualisation rule. The </w:t>
      </w:r>
      <w:r>
        <w:rPr>
          <w:rFonts w:ascii="DejaVu Sans Mono" w:hAnsi="DejaVu Sans Mono"/>
          <w:b w:val="0"/>
          <w:i w:val="0"/>
          <w:sz w:val="17"/>
        </w:rPr>
        <w:t>value_​current_​authoritative_​v1</w:t>
      </w:r>
      <w:r>
        <w:rPr>
          <w:b w:val="0"/>
          <w:i w:val="0"/>
        </w:rPr>
        <w:t xml:space="preserve"> factor set supplies the accounting factors.</w:t>
      </w:r>
    </w:p>
    <w:p>
      <w:pPr>
        <w:pStyle w:val="Heading2"/>
      </w:pPr>
      <w:r>
        <w:rPr>
          <w:b w:val="0"/>
          <w:i w:val="0"/>
        </w:rPr>
        <w:t>Generation and imported electricity</w:t>
      </w:r>
    </w:p>
    <w:p>
      <w:pPr>
        <w:keepNext/>
      </w:pPr>
      <w:r>
        <w:rPr>
          <w:b w:val="0"/>
          <w:i w:val="0"/>
        </w:rPr>
        <w:t xml:space="preserve">Operational emissions multiply generated or imported electricity by its selected factor. In </w:t>
      </w:r>
      <w:r>
        <w:rPr>
          <w:rFonts w:ascii="DejaVu Sans Mono" w:hAnsi="DejaVu Sans Mono"/>
          <w:b w:val="0"/>
          <w:i w:val="0"/>
          <w:sz w:val="17"/>
        </w:rPr>
        <w:t>build_​operational_​carbon_​ledger</w:t>
      </w:r>
      <w:r>
        <w:rPr>
          <w:b w:val="0"/>
          <w:i w:val="0"/>
        </w:rPr>
        <w:t xml:space="preserve">, </w:t>
      </w:r>
      <w:r>
        <w:rPr>
          <w:rFonts w:ascii="DejaVu Sans Mono" w:hAnsi="DejaVu Sans Mono"/>
          <w:b w:val="0"/>
          <w:i w:val="0"/>
          <w:sz w:val="17"/>
        </w:rPr>
        <w:t>activity</w:t>
      </w:r>
      <w:r>
        <w:rPr>
          <w:b w:val="0"/>
          <w:i w:val="0"/>
        </w:rPr>
        <w:t xml:space="preserve"> is the MWh read from </w:t>
      </w:r>
      <w:r>
        <w:rPr>
          <w:rFonts w:ascii="DejaVu Sans Mono" w:hAnsi="DejaVu Sans Mono"/>
          <w:b w:val="0"/>
          <w:i w:val="0"/>
          <w:sz w:val="17"/>
        </w:rPr>
        <w:t>generation_mwh_by_asset</w:t>
      </w:r>
      <w:r>
        <w:rPr>
          <w:b w:val="0"/>
          <w:i w:val="0"/>
        </w:rPr>
        <w:t xml:space="preserve"> for each </w:t>
      </w:r>
      <w:r>
        <w:rPr>
          <w:rFonts w:ascii="DejaVu Sans Mono" w:hAnsi="DejaVu Sans Mono"/>
          <w:b w:val="0"/>
          <w:i w:val="0"/>
          <w:sz w:val="17"/>
        </w:rPr>
        <w:t>asset_id</w:t>
      </w:r>
      <w:r>
        <w:rPr>
          <w:b w:val="0"/>
          <w:i w:val="0"/>
        </w:rPr>
        <w:t xml:space="preserve">; </w:t>
      </w:r>
      <w:r>
        <w:rPr>
          <w:rFonts w:ascii="DejaVu Sans Mono" w:hAnsi="DejaVu Sans Mono"/>
          <w:b w:val="0"/>
          <w:i w:val="0"/>
          <w:sz w:val="17"/>
        </w:rPr>
        <w:t>kg</w:t>
      </w:r>
      <w:r>
        <w:rPr>
          <w:b w:val="0"/>
          <w:i w:val="0"/>
        </w:rPr>
        <w:t xml:space="preserve"> is the factor converted to kg/MWh. Each </w:t>
      </w:r>
      <w:r>
        <w:rPr>
          <w:rFonts w:ascii="DejaVu Sans Mono" w:hAnsi="DejaVu Sans Mono"/>
          <w:b w:val="0"/>
          <w:i w:val="0"/>
          <w:sz w:val="17"/>
        </w:rPr>
        <w:t>emissions_tco2e</w:t>
      </w:r>
      <w:r>
        <w:rPr>
          <w:b w:val="0"/>
          <w:i w:val="0"/>
        </w:rPr>
        <w:t xml:space="preserve"> entry records the resulting tonnes, and </w:t>
      </w:r>
      <w:r>
        <w:rPr>
          <w:rFonts w:ascii="DejaVu Sans Mono" w:hAnsi="DejaVu Sans Mono"/>
          <w:b w:val="0"/>
          <w:i w:val="0"/>
          <w:sz w:val="17"/>
        </w:rPr>
        <w:t>operational</w:t>
      </w:r>
      <w:r>
        <w:rPr>
          <w:b w:val="0"/>
          <w:i w:val="0"/>
        </w:rPr>
        <w:t xml:space="preserve"> sums these entries:</w:t>
      </w:r>
    </w:p>
    <w:p>
      <w:pPr>
        <w:spacing w:after="160"/>
        <w:jc w:val="center"/>
      </w:pPr>
      <w:r>
        <w:drawing>
          <wp:inline xmlns:a="http://schemas.openxmlformats.org/drawingml/2006/main" xmlns:pic="http://schemas.openxmlformats.org/drawingml/2006/picture">
            <wp:extent cx="4586478" cy="788801"/>
            <wp:docPr id="180" name="Picture 180"/>
            <wp:cNvGraphicFramePr>
              <a:graphicFrameLocks noChangeAspect="1"/>
            </wp:cNvGraphicFramePr>
            <a:graphic>
              <a:graphicData uri="http://schemas.openxmlformats.org/drawingml/2006/picture">
                <pic:pic>
                  <pic:nvPicPr>
                    <pic:cNvPr id="0" name="eq-180.png"/>
                    <pic:cNvPicPr/>
                  </pic:nvPicPr>
                  <pic:blipFill>
                    <a:blip r:embed="rId161"/>
                    <a:stretch>
                      <a:fillRect/>
                    </a:stretch>
                  </pic:blipFill>
                  <pic:spPr>
                    <a:xfrm>
                      <a:off x="0" y="0"/>
                      <a:ext cx="4586478" cy="788801"/>
                    </a:xfrm>
                    <a:prstGeom prst="rect"/>
                  </pic:spPr>
                </pic:pic>
              </a:graphicData>
            </a:graphic>
          </wp:inline>
        </w:drawing>
      </w:r>
    </w:p>
    <w:p>
      <w:r>
        <w:rPr>
          <w:b w:val="0"/>
          <w:i w:val="0"/>
        </w:rPr>
        <w:t>The result is in tonnes, retaining the CO₂ or CO₂e definition of the selected factor. Zero values in the table refer to the direct operational generation boundary. Equipment-construction emissions are calculated using the capacity-based emissions factors in the next section. Import factors use fixed national averages or fallback values.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95"/>
        <w:gridCol w:w="1805"/>
        <w:gridCol w:w="1598"/>
        <w:gridCol w:w="3195"/>
      </w:tblGrid>
      <w:tr>
        <w:trPr>
          <w:cantSplit/>
          <w:tblHeader w:val="true"/>
        </w:trPr>
        <w:tc>
          <w:tcPr>
            <w:tcW w:type="dxa" w:w="3195"/>
            <w:vAlign w:val="center"/>
            <w:tcMar>
              <w:top w:w="60" w:type="dxa"/>
              <w:left w:w="90" w:type="dxa"/>
              <w:bottom w:w="60" w:type="dxa"/>
              <w:right w:w="90" w:type="dxa"/>
            </w:tcMar>
            <w:shd w:fill="EEEEEE"/>
          </w:tcPr>
          <w:p>
            <w:pPr>
              <w:spacing w:after="40" w:line="276" w:lineRule="auto"/>
            </w:pPr>
            <w:r>
              <w:rPr>
                <w:b/>
                <w:i w:val="0"/>
                <w:sz w:val="18"/>
              </w:rPr>
              <w:t>Generation technology or import source</w:t>
            </w:r>
          </w:p>
        </w:tc>
        <w:tc>
          <w:tcPr>
            <w:tcW w:type="dxa" w:w="1805"/>
            <w:vAlign w:val="center"/>
            <w:tcMar>
              <w:top w:w="60" w:type="dxa"/>
              <w:left w:w="90" w:type="dxa"/>
              <w:bottom w:w="60" w:type="dxa"/>
              <w:right w:w="90" w:type="dxa"/>
            </w:tcMar>
            <w:shd w:fill="EEEEEE"/>
          </w:tcPr>
          <w:p>
            <w:pPr>
              <w:spacing w:after="40" w:line="276" w:lineRule="auto"/>
            </w:pPr>
            <w:r>
              <w:rPr>
                <w:b/>
                <w:i w:val="0"/>
                <w:sz w:val="18"/>
              </w:rPr>
              <w:t>Factor kg/MWh</w:t>
            </w:r>
          </w:p>
        </w:tc>
        <w:tc>
          <w:tcPr>
            <w:tcW w:type="dxa" w:w="1598"/>
            <w:vAlign w:val="center"/>
            <w:tcMar>
              <w:top w:w="60" w:type="dxa"/>
              <w:left w:w="90" w:type="dxa"/>
              <w:bottom w:w="60" w:type="dxa"/>
              <w:right w:w="90" w:type="dxa"/>
            </w:tcMar>
            <w:shd w:fill="EEEEEE"/>
          </w:tcPr>
          <w:p>
            <w:pPr>
              <w:spacing w:after="40" w:line="276" w:lineRule="auto"/>
            </w:pPr>
            <w:r>
              <w:rPr>
                <w:b/>
                <w:i w:val="0"/>
                <w:sz w:val="18"/>
              </w:rPr>
              <w:t>Gas basis</w:t>
            </w:r>
          </w:p>
        </w:tc>
        <w:tc>
          <w:tcPr>
            <w:tcW w:type="dxa" w:w="3195"/>
            <w:vAlign w:val="center"/>
            <w:tcMar>
              <w:top w:w="60" w:type="dxa"/>
              <w:left w:w="90" w:type="dxa"/>
              <w:bottom w:w="60" w:type="dxa"/>
              <w:right w:w="90" w:type="dxa"/>
            </w:tcMar>
            <w:shd w:fill="EEEEEE"/>
          </w:tcPr>
          <w:p>
            <w:pPr>
              <w:spacing w:after="40" w:line="276" w:lineRule="auto"/>
            </w:pPr>
            <w:r>
              <w:rPr>
                <w:b/>
                <w:i w:val="0"/>
                <w:sz w:val="18"/>
              </w:rPr>
              <w:t>Data basis</w:t>
            </w:r>
          </w:p>
        </w:tc>
      </w:tr>
      <w:tr>
        <w:trPr>
          <w:cantSplit/>
        </w:trPr>
        <w:tc>
          <w:tcPr>
            <w:tcW w:type="dxa" w:w="3195"/>
            <w:vAlign w:val="center"/>
            <w:tcMar>
              <w:top w:w="60" w:type="dxa"/>
              <w:left w:w="90" w:type="dxa"/>
              <w:bottom w:w="60" w:type="dxa"/>
              <w:right w:w="90" w:type="dxa"/>
            </w:tcMar>
          </w:tcPr>
          <w:p>
            <w:pPr>
              <w:spacing w:after="40" w:line="276" w:lineRule="auto"/>
            </w:pPr>
            <w:r>
              <w:rPr>
                <w:b w:val="0"/>
                <w:i w:val="0"/>
                <w:sz w:val="18"/>
              </w:rPr>
              <w:t>Combined-cycle gas</w:t>
            </w:r>
          </w:p>
        </w:tc>
        <w:tc>
          <w:tcPr>
            <w:tcW w:type="dxa" w:w="1805"/>
            <w:vAlign w:val="center"/>
            <w:tcMar>
              <w:top w:w="60" w:type="dxa"/>
              <w:left w:w="90" w:type="dxa"/>
              <w:bottom w:w="60" w:type="dxa"/>
              <w:right w:w="90" w:type="dxa"/>
            </w:tcMar>
          </w:tcPr>
          <w:p>
            <w:pPr>
              <w:spacing w:after="40" w:line="276" w:lineRule="auto"/>
            </w:pPr>
            <w:r>
              <w:rPr>
                <w:b w:val="0"/>
                <w:i w:val="0"/>
                <w:sz w:val="18"/>
              </w:rPr>
              <w:t>394</w:t>
            </w:r>
          </w:p>
        </w:tc>
        <w:tc>
          <w:tcPr>
            <w:tcW w:type="dxa" w:w="1598"/>
            <w:vAlign w:val="center"/>
            <w:tcMar>
              <w:top w:w="60" w:type="dxa"/>
              <w:left w:w="90" w:type="dxa"/>
              <w:bottom w:w="60" w:type="dxa"/>
              <w:right w:w="90" w:type="dxa"/>
            </w:tcMar>
          </w:tcPr>
          <w:p>
            <w:pPr>
              <w:spacing w:after="40" w:line="276" w:lineRule="auto"/>
            </w:pPr>
            <w:r>
              <w:rPr>
                <w:b w:val="0"/>
                <w:i w:val="0"/>
                <w:sz w:val="18"/>
              </w:rPr>
              <w:t>CO₂</w:t>
            </w:r>
          </w:p>
        </w:tc>
        <w:tc>
          <w:tcPr>
            <w:tcW w:type="dxa" w:w="3195"/>
            <w:vAlign w:val="center"/>
            <w:tcMar>
              <w:top w:w="60" w:type="dxa"/>
              <w:left w:w="90" w:type="dxa"/>
              <w:bottom w:w="60" w:type="dxa"/>
              <w:right w:w="90" w:type="dxa"/>
            </w:tcMar>
          </w:tcPr>
          <w:p>
            <w:pPr>
              <w:spacing w:after="40" w:line="276" w:lineRule="auto"/>
            </w:pPr>
            <w:r>
              <w:rPr>
                <w:b w:val="0"/>
                <w:i w:val="0"/>
                <w:sz w:val="18"/>
              </w:rPr>
              <w:t>NESO regional carbon-intensity methodology 2024</w:t>
            </w:r>
          </w:p>
        </w:tc>
      </w:tr>
      <w:tr>
        <w:trPr>
          <w:cantSplit/>
        </w:trPr>
        <w:tc>
          <w:tcPr>
            <w:tcW w:type="dxa" w:w="3195"/>
            <w:vAlign w:val="center"/>
            <w:tcMar>
              <w:top w:w="60" w:type="dxa"/>
              <w:left w:w="90" w:type="dxa"/>
              <w:bottom w:w="60" w:type="dxa"/>
              <w:right w:w="90" w:type="dxa"/>
            </w:tcMar>
          </w:tcPr>
          <w:p>
            <w:pPr>
              <w:spacing w:after="40" w:line="276" w:lineRule="auto"/>
            </w:pPr>
            <w:r>
              <w:rPr>
                <w:b w:val="0"/>
                <w:i w:val="0"/>
                <w:sz w:val="18"/>
              </w:rPr>
              <w:t>Open-cycle gas</w:t>
            </w:r>
          </w:p>
        </w:tc>
        <w:tc>
          <w:tcPr>
            <w:tcW w:type="dxa" w:w="1805"/>
            <w:vAlign w:val="center"/>
            <w:tcMar>
              <w:top w:w="60" w:type="dxa"/>
              <w:left w:w="90" w:type="dxa"/>
              <w:bottom w:w="60" w:type="dxa"/>
              <w:right w:w="90" w:type="dxa"/>
            </w:tcMar>
          </w:tcPr>
          <w:p>
            <w:pPr>
              <w:spacing w:after="40" w:line="276" w:lineRule="auto"/>
            </w:pPr>
            <w:r>
              <w:rPr>
                <w:b w:val="0"/>
                <w:i w:val="0"/>
                <w:sz w:val="18"/>
              </w:rPr>
              <w:t>651</w:t>
            </w:r>
          </w:p>
        </w:tc>
        <w:tc>
          <w:tcPr>
            <w:tcW w:type="dxa" w:w="1598"/>
            <w:vAlign w:val="center"/>
            <w:tcMar>
              <w:top w:w="60" w:type="dxa"/>
              <w:left w:w="90" w:type="dxa"/>
              <w:bottom w:w="60" w:type="dxa"/>
              <w:right w:w="90" w:type="dxa"/>
            </w:tcMar>
          </w:tcPr>
          <w:p>
            <w:pPr>
              <w:spacing w:after="40" w:line="276" w:lineRule="auto"/>
            </w:pPr>
            <w:r>
              <w:rPr>
                <w:b w:val="0"/>
                <w:i w:val="0"/>
                <w:sz w:val="18"/>
              </w:rPr>
              <w:t>CO₂</w:t>
            </w:r>
          </w:p>
        </w:tc>
        <w:tc>
          <w:tcPr>
            <w:tcW w:type="dxa" w:w="3195"/>
            <w:vAlign w:val="center"/>
            <w:tcMar>
              <w:top w:w="60" w:type="dxa"/>
              <w:left w:w="90" w:type="dxa"/>
              <w:bottom w:w="60" w:type="dxa"/>
              <w:right w:w="90" w:type="dxa"/>
            </w:tcMar>
          </w:tcPr>
          <w:p>
            <w:pPr>
              <w:spacing w:after="40" w:line="276" w:lineRule="auto"/>
            </w:pPr>
            <w:r>
              <w:rPr>
                <w:b w:val="0"/>
                <w:i w:val="0"/>
                <w:sz w:val="18"/>
              </w:rPr>
              <w:t>NESO regional carbon-intensity methodology 2024</w:t>
            </w:r>
          </w:p>
        </w:tc>
      </w:tr>
      <w:tr>
        <w:trPr>
          <w:cantSplit/>
        </w:trPr>
        <w:tc>
          <w:tcPr>
            <w:tcW w:type="dxa" w:w="3195"/>
            <w:vAlign w:val="center"/>
            <w:tcMar>
              <w:top w:w="60" w:type="dxa"/>
              <w:left w:w="90" w:type="dxa"/>
              <w:bottom w:w="60" w:type="dxa"/>
              <w:right w:w="90" w:type="dxa"/>
            </w:tcMar>
          </w:tcPr>
          <w:p>
            <w:pPr>
              <w:spacing w:after="40" w:line="276" w:lineRule="auto"/>
            </w:pPr>
            <w:r>
              <w:rPr>
                <w:b w:val="0"/>
                <w:i w:val="0"/>
                <w:sz w:val="18"/>
              </w:rPr>
              <w:t>Biomass</w:t>
            </w:r>
          </w:p>
        </w:tc>
        <w:tc>
          <w:tcPr>
            <w:tcW w:type="dxa" w:w="1805"/>
            <w:vAlign w:val="center"/>
            <w:tcMar>
              <w:top w:w="60" w:type="dxa"/>
              <w:left w:w="90" w:type="dxa"/>
              <w:bottom w:w="60" w:type="dxa"/>
              <w:right w:w="90" w:type="dxa"/>
            </w:tcMar>
          </w:tcPr>
          <w:p>
            <w:pPr>
              <w:spacing w:after="40" w:line="276" w:lineRule="auto"/>
            </w:pPr>
            <w:r>
              <w:rPr>
                <w:b w:val="0"/>
                <w:i w:val="0"/>
                <w:sz w:val="18"/>
              </w:rPr>
              <w:t>120</w:t>
            </w:r>
          </w:p>
        </w:tc>
        <w:tc>
          <w:tcPr>
            <w:tcW w:type="dxa" w:w="1598"/>
            <w:vAlign w:val="center"/>
            <w:tcMar>
              <w:top w:w="60" w:type="dxa"/>
              <w:left w:w="90" w:type="dxa"/>
              <w:bottom w:w="60" w:type="dxa"/>
              <w:right w:w="90" w:type="dxa"/>
            </w:tcMar>
          </w:tcPr>
          <w:p>
            <w:pPr>
              <w:spacing w:after="40" w:line="276" w:lineRule="auto"/>
            </w:pPr>
            <w:r>
              <w:rPr>
                <w:b w:val="0"/>
                <w:i w:val="0"/>
                <w:sz w:val="18"/>
              </w:rPr>
              <w:t>CO₂e</w:t>
            </w:r>
          </w:p>
        </w:tc>
        <w:tc>
          <w:tcPr>
            <w:tcW w:type="dxa" w:w="3195"/>
            <w:vAlign w:val="center"/>
            <w:tcMar>
              <w:top w:w="60" w:type="dxa"/>
              <w:left w:w="90" w:type="dxa"/>
              <w:bottom w:w="60" w:type="dxa"/>
              <w:right w:w="90" w:type="dxa"/>
            </w:tcMar>
          </w:tcPr>
          <w:p>
            <w:pPr>
              <w:spacing w:after="40" w:line="276" w:lineRule="auto"/>
            </w:pPr>
            <w:r>
              <w:rPr>
                <w:b w:val="0"/>
                <w:i w:val="0"/>
                <w:sz w:val="18"/>
              </w:rPr>
              <w:t>NESO regional carbon-intensity methodology 2024</w:t>
            </w:r>
          </w:p>
        </w:tc>
      </w:tr>
      <w:tr>
        <w:trPr>
          <w:cantSplit/>
        </w:trPr>
        <w:tc>
          <w:tcPr>
            <w:tcW w:type="dxa" w:w="3195"/>
            <w:vAlign w:val="center"/>
            <w:tcMar>
              <w:top w:w="60" w:type="dxa"/>
              <w:left w:w="90" w:type="dxa"/>
              <w:bottom w:w="60" w:type="dxa"/>
              <w:right w:w="90" w:type="dxa"/>
            </w:tcMar>
          </w:tcPr>
          <w:p>
            <w:pPr>
              <w:spacing w:after="40" w:line="276" w:lineRule="auto"/>
            </w:pPr>
            <w:r>
              <w:rPr>
                <w:b w:val="0"/>
                <w:i w:val="0"/>
                <w:sz w:val="18"/>
              </w:rPr>
              <w:t>Wind Solar Nuclear Conventional hydro Pumped hydro</w:t>
            </w:r>
          </w:p>
        </w:tc>
        <w:tc>
          <w:tcPr>
            <w:tcW w:type="dxa" w:w="1805"/>
            <w:vAlign w:val="center"/>
            <w:tcMar>
              <w:top w:w="60" w:type="dxa"/>
              <w:left w:w="90" w:type="dxa"/>
              <w:bottom w:w="60" w:type="dxa"/>
              <w:right w:w="90" w:type="dxa"/>
            </w:tcMar>
          </w:tcPr>
          <w:p>
            <w:pPr>
              <w:spacing w:after="40" w:line="276" w:lineRule="auto"/>
            </w:pPr>
            <w:r>
              <w:rPr>
                <w:b w:val="0"/>
                <w:i w:val="0"/>
                <w:sz w:val="18"/>
              </w:rPr>
              <w:t>0</w:t>
            </w:r>
          </w:p>
        </w:tc>
        <w:tc>
          <w:tcPr>
            <w:tcW w:type="dxa" w:w="1598"/>
            <w:vAlign w:val="center"/>
            <w:tcMar>
              <w:top w:w="60" w:type="dxa"/>
              <w:left w:w="90" w:type="dxa"/>
              <w:bottom w:w="60" w:type="dxa"/>
              <w:right w:w="90" w:type="dxa"/>
            </w:tcMar>
          </w:tcPr>
          <w:p>
            <w:pPr>
              <w:spacing w:after="40" w:line="276" w:lineRule="auto"/>
            </w:pPr>
            <w:r>
              <w:rPr>
                <w:b w:val="0"/>
                <w:i w:val="0"/>
                <w:sz w:val="18"/>
              </w:rPr>
              <w:t>CO₂</w:t>
            </w:r>
          </w:p>
        </w:tc>
        <w:tc>
          <w:tcPr>
            <w:tcW w:type="dxa" w:w="3195"/>
            <w:vAlign w:val="center"/>
            <w:tcMar>
              <w:top w:w="60" w:type="dxa"/>
              <w:left w:w="90" w:type="dxa"/>
              <w:bottom w:w="60" w:type="dxa"/>
              <w:right w:w="90" w:type="dxa"/>
            </w:tcMar>
          </w:tcPr>
          <w:p>
            <w:pPr>
              <w:spacing w:after="40" w:line="276" w:lineRule="auto"/>
            </w:pPr>
            <w:r>
              <w:rPr>
                <w:b w:val="0"/>
                <w:i w:val="0"/>
                <w:sz w:val="18"/>
              </w:rPr>
              <w:t>NESO generation boundary</w:t>
            </w:r>
          </w:p>
        </w:tc>
      </w:tr>
      <w:tr>
        <w:trPr>
          <w:cantSplit/>
        </w:trPr>
        <w:tc>
          <w:tcPr>
            <w:tcW w:type="dxa" w:w="3195"/>
            <w:vAlign w:val="center"/>
            <w:tcMar>
              <w:top w:w="60" w:type="dxa"/>
              <w:left w:w="90" w:type="dxa"/>
              <w:bottom w:w="60" w:type="dxa"/>
              <w:right w:w="90" w:type="dxa"/>
            </w:tcMar>
          </w:tcPr>
          <w:p>
            <w:pPr>
              <w:spacing w:after="40" w:line="276" w:lineRule="auto"/>
            </w:pPr>
            <w:r>
              <w:rPr>
                <w:b w:val="0"/>
                <w:i w:val="0"/>
                <w:sz w:val="18"/>
              </w:rPr>
              <w:t>Imports from France</w:t>
            </w:r>
          </w:p>
        </w:tc>
        <w:tc>
          <w:tcPr>
            <w:tcW w:type="dxa" w:w="1805"/>
            <w:vAlign w:val="center"/>
            <w:tcMar>
              <w:top w:w="60" w:type="dxa"/>
              <w:left w:w="90" w:type="dxa"/>
              <w:bottom w:w="60" w:type="dxa"/>
              <w:right w:w="90" w:type="dxa"/>
            </w:tcMar>
          </w:tcPr>
          <w:p>
            <w:pPr>
              <w:spacing w:after="40" w:line="276" w:lineRule="auto"/>
            </w:pPr>
            <w:r>
              <w:rPr>
                <w:b w:val="0"/>
                <w:i w:val="0"/>
                <w:sz w:val="18"/>
              </w:rPr>
              <w:t>53</w:t>
            </w:r>
          </w:p>
        </w:tc>
        <w:tc>
          <w:tcPr>
            <w:tcW w:type="dxa" w:w="1598"/>
            <w:vAlign w:val="center"/>
            <w:tcMar>
              <w:top w:w="60" w:type="dxa"/>
              <w:left w:w="90" w:type="dxa"/>
              <w:bottom w:w="60" w:type="dxa"/>
              <w:right w:w="90" w:type="dxa"/>
            </w:tcMar>
          </w:tcPr>
          <w:p>
            <w:pPr>
              <w:spacing w:after="40" w:line="276" w:lineRule="auto"/>
            </w:pPr>
            <w:r>
              <w:rPr>
                <w:b w:val="0"/>
                <w:i w:val="0"/>
                <w:sz w:val="18"/>
              </w:rPr>
              <w:t>CO₂</w:t>
            </w:r>
          </w:p>
        </w:tc>
        <w:tc>
          <w:tcPr>
            <w:tcW w:type="dxa" w:w="3195"/>
            <w:vAlign w:val="center"/>
            <w:tcMar>
              <w:top w:w="60" w:type="dxa"/>
              <w:left w:w="90" w:type="dxa"/>
              <w:bottom w:w="60" w:type="dxa"/>
              <w:right w:w="90" w:type="dxa"/>
            </w:tcMar>
          </w:tcPr>
          <w:p>
            <w:pPr>
              <w:spacing w:after="40" w:line="276" w:lineRule="auto"/>
            </w:pPr>
            <w:r>
              <w:rPr>
                <w:b w:val="0"/>
                <w:i w:val="0"/>
                <w:sz w:val="18"/>
              </w:rPr>
              <w:t>NESO fixed fallback factor</w:t>
            </w:r>
          </w:p>
        </w:tc>
      </w:tr>
      <w:tr>
        <w:trPr>
          <w:cantSplit/>
        </w:trPr>
        <w:tc>
          <w:tcPr>
            <w:tcW w:type="dxa" w:w="3195"/>
            <w:vAlign w:val="center"/>
            <w:tcMar>
              <w:top w:w="60" w:type="dxa"/>
              <w:left w:w="90" w:type="dxa"/>
              <w:bottom w:w="60" w:type="dxa"/>
              <w:right w:w="90" w:type="dxa"/>
            </w:tcMar>
          </w:tcPr>
          <w:p>
            <w:pPr>
              <w:spacing w:after="40" w:line="276" w:lineRule="auto"/>
            </w:pPr>
            <w:r>
              <w:rPr>
                <w:b w:val="0"/>
                <w:i w:val="0"/>
                <w:sz w:val="18"/>
              </w:rPr>
              <w:t>Imports from the Netherlands</w:t>
            </w:r>
          </w:p>
        </w:tc>
        <w:tc>
          <w:tcPr>
            <w:tcW w:type="dxa" w:w="1805"/>
            <w:vAlign w:val="center"/>
            <w:tcMar>
              <w:top w:w="60" w:type="dxa"/>
              <w:left w:w="90" w:type="dxa"/>
              <w:bottom w:w="60" w:type="dxa"/>
              <w:right w:w="90" w:type="dxa"/>
            </w:tcMar>
          </w:tcPr>
          <w:p>
            <w:pPr>
              <w:spacing w:after="40" w:line="276" w:lineRule="auto"/>
            </w:pPr>
            <w:r>
              <w:rPr>
                <w:b w:val="0"/>
                <w:i w:val="0"/>
                <w:sz w:val="18"/>
              </w:rPr>
              <w:t>474</w:t>
            </w:r>
          </w:p>
        </w:tc>
        <w:tc>
          <w:tcPr>
            <w:tcW w:type="dxa" w:w="1598"/>
            <w:vAlign w:val="center"/>
            <w:tcMar>
              <w:top w:w="60" w:type="dxa"/>
              <w:left w:w="90" w:type="dxa"/>
              <w:bottom w:w="60" w:type="dxa"/>
              <w:right w:w="90" w:type="dxa"/>
            </w:tcMar>
          </w:tcPr>
          <w:p>
            <w:pPr>
              <w:spacing w:after="40" w:line="276" w:lineRule="auto"/>
            </w:pPr>
            <w:r>
              <w:rPr>
                <w:b w:val="0"/>
                <w:i w:val="0"/>
                <w:sz w:val="18"/>
              </w:rPr>
              <w:t>CO₂</w:t>
            </w:r>
          </w:p>
        </w:tc>
        <w:tc>
          <w:tcPr>
            <w:tcW w:type="dxa" w:w="3195"/>
            <w:vAlign w:val="center"/>
            <w:tcMar>
              <w:top w:w="60" w:type="dxa"/>
              <w:left w:w="90" w:type="dxa"/>
              <w:bottom w:w="60" w:type="dxa"/>
              <w:right w:w="90" w:type="dxa"/>
            </w:tcMar>
          </w:tcPr>
          <w:p>
            <w:pPr>
              <w:spacing w:after="40" w:line="276" w:lineRule="auto"/>
            </w:pPr>
            <w:r>
              <w:rPr>
                <w:b w:val="0"/>
                <w:i w:val="0"/>
                <w:sz w:val="18"/>
              </w:rPr>
              <w:t>NESO fixed fallback factor</w:t>
            </w:r>
          </w:p>
        </w:tc>
      </w:tr>
      <w:tr>
        <w:trPr>
          <w:cantSplit/>
        </w:trPr>
        <w:tc>
          <w:tcPr>
            <w:tcW w:type="dxa" w:w="3195"/>
            <w:vAlign w:val="center"/>
            <w:tcMar>
              <w:top w:w="60" w:type="dxa"/>
              <w:left w:w="90" w:type="dxa"/>
              <w:bottom w:w="60" w:type="dxa"/>
              <w:right w:w="90" w:type="dxa"/>
            </w:tcMar>
          </w:tcPr>
          <w:p>
            <w:pPr>
              <w:spacing w:after="40" w:line="276" w:lineRule="auto"/>
            </w:pPr>
            <w:r>
              <w:rPr>
                <w:b w:val="0"/>
                <w:i w:val="0"/>
                <w:sz w:val="18"/>
              </w:rPr>
              <w:t>Imports from Belgium</w:t>
            </w:r>
          </w:p>
        </w:tc>
        <w:tc>
          <w:tcPr>
            <w:tcW w:type="dxa" w:w="1805"/>
            <w:vAlign w:val="center"/>
            <w:tcMar>
              <w:top w:w="60" w:type="dxa"/>
              <w:left w:w="90" w:type="dxa"/>
              <w:bottom w:w="60" w:type="dxa"/>
              <w:right w:w="90" w:type="dxa"/>
            </w:tcMar>
          </w:tcPr>
          <w:p>
            <w:pPr>
              <w:spacing w:after="40" w:line="276" w:lineRule="auto"/>
            </w:pPr>
            <w:r>
              <w:rPr>
                <w:b w:val="0"/>
                <w:i w:val="0"/>
                <w:sz w:val="18"/>
              </w:rPr>
              <w:t>179</w:t>
            </w:r>
          </w:p>
        </w:tc>
        <w:tc>
          <w:tcPr>
            <w:tcW w:type="dxa" w:w="1598"/>
            <w:vAlign w:val="center"/>
            <w:tcMar>
              <w:top w:w="60" w:type="dxa"/>
              <w:left w:w="90" w:type="dxa"/>
              <w:bottom w:w="60" w:type="dxa"/>
              <w:right w:w="90" w:type="dxa"/>
            </w:tcMar>
          </w:tcPr>
          <w:p>
            <w:pPr>
              <w:spacing w:after="40" w:line="276" w:lineRule="auto"/>
            </w:pPr>
            <w:r>
              <w:rPr>
                <w:b w:val="0"/>
                <w:i w:val="0"/>
                <w:sz w:val="18"/>
              </w:rPr>
              <w:t>CO₂</w:t>
            </w:r>
          </w:p>
        </w:tc>
        <w:tc>
          <w:tcPr>
            <w:tcW w:type="dxa" w:w="3195"/>
            <w:vAlign w:val="center"/>
            <w:tcMar>
              <w:top w:w="60" w:type="dxa"/>
              <w:left w:w="90" w:type="dxa"/>
              <w:bottom w:w="60" w:type="dxa"/>
              <w:right w:w="90" w:type="dxa"/>
            </w:tcMar>
          </w:tcPr>
          <w:p>
            <w:pPr>
              <w:spacing w:after="40" w:line="276" w:lineRule="auto"/>
            </w:pPr>
            <w:r>
              <w:rPr>
                <w:b w:val="0"/>
                <w:i w:val="0"/>
                <w:sz w:val="18"/>
              </w:rPr>
              <w:t>NESO fixed fallback factor</w:t>
            </w:r>
          </w:p>
        </w:tc>
      </w:tr>
      <w:tr>
        <w:trPr>
          <w:cantSplit/>
        </w:trPr>
        <w:tc>
          <w:tcPr>
            <w:tcW w:type="dxa" w:w="3195"/>
            <w:vAlign w:val="center"/>
            <w:tcMar>
              <w:top w:w="60" w:type="dxa"/>
              <w:left w:w="90" w:type="dxa"/>
              <w:bottom w:w="60" w:type="dxa"/>
              <w:right w:w="90" w:type="dxa"/>
            </w:tcMar>
          </w:tcPr>
          <w:p>
            <w:pPr>
              <w:spacing w:after="40" w:line="276" w:lineRule="auto"/>
            </w:pPr>
            <w:r>
              <w:rPr>
                <w:b w:val="0"/>
                <w:i w:val="0"/>
                <w:sz w:val="18"/>
              </w:rPr>
              <w:t>Imports from Ireland</w:t>
            </w:r>
          </w:p>
        </w:tc>
        <w:tc>
          <w:tcPr>
            <w:tcW w:type="dxa" w:w="1805"/>
            <w:vAlign w:val="center"/>
            <w:tcMar>
              <w:top w:w="60" w:type="dxa"/>
              <w:left w:w="90" w:type="dxa"/>
              <w:bottom w:w="60" w:type="dxa"/>
              <w:right w:w="90" w:type="dxa"/>
            </w:tcMar>
          </w:tcPr>
          <w:p>
            <w:pPr>
              <w:spacing w:after="40" w:line="276" w:lineRule="auto"/>
            </w:pPr>
            <w:r>
              <w:rPr>
                <w:b w:val="0"/>
                <w:i w:val="0"/>
                <w:sz w:val="18"/>
              </w:rPr>
              <w:t>458</w:t>
            </w:r>
          </w:p>
        </w:tc>
        <w:tc>
          <w:tcPr>
            <w:tcW w:type="dxa" w:w="1598"/>
            <w:vAlign w:val="center"/>
            <w:tcMar>
              <w:top w:w="60" w:type="dxa"/>
              <w:left w:w="90" w:type="dxa"/>
              <w:bottom w:w="60" w:type="dxa"/>
              <w:right w:w="90" w:type="dxa"/>
            </w:tcMar>
          </w:tcPr>
          <w:p>
            <w:pPr>
              <w:spacing w:after="40" w:line="276" w:lineRule="auto"/>
            </w:pPr>
            <w:r>
              <w:rPr>
                <w:b w:val="0"/>
                <w:i w:val="0"/>
                <w:sz w:val="18"/>
              </w:rPr>
              <w:t>CO₂</w:t>
            </w:r>
          </w:p>
        </w:tc>
        <w:tc>
          <w:tcPr>
            <w:tcW w:type="dxa" w:w="3195"/>
            <w:vAlign w:val="center"/>
            <w:tcMar>
              <w:top w:w="60" w:type="dxa"/>
              <w:left w:w="90" w:type="dxa"/>
              <w:bottom w:w="60" w:type="dxa"/>
              <w:right w:w="90" w:type="dxa"/>
            </w:tcMar>
          </w:tcPr>
          <w:p>
            <w:pPr>
              <w:spacing w:after="40" w:line="276" w:lineRule="auto"/>
            </w:pPr>
            <w:r>
              <w:rPr>
                <w:b w:val="0"/>
                <w:i w:val="0"/>
                <w:sz w:val="18"/>
              </w:rPr>
              <w:t>NESO fixed fallback factor</w:t>
            </w:r>
          </w:p>
        </w:tc>
      </w:tr>
      <w:tr>
        <w:trPr>
          <w:cantSplit/>
        </w:trPr>
        <w:tc>
          <w:tcPr>
            <w:tcW w:type="dxa" w:w="3195"/>
            <w:vAlign w:val="center"/>
            <w:tcMar>
              <w:top w:w="60" w:type="dxa"/>
              <w:left w:w="90" w:type="dxa"/>
              <w:bottom w:w="60" w:type="dxa"/>
              <w:right w:w="90" w:type="dxa"/>
            </w:tcMar>
          </w:tcPr>
          <w:p>
            <w:pPr>
              <w:spacing w:after="40" w:line="276" w:lineRule="auto"/>
            </w:pPr>
            <w:r>
              <w:rPr>
                <w:b w:val="0"/>
                <w:i w:val="0"/>
                <w:sz w:val="18"/>
              </w:rPr>
              <w:t>Imports from Norway</w:t>
            </w:r>
          </w:p>
        </w:tc>
        <w:tc>
          <w:tcPr>
            <w:tcW w:type="dxa" w:w="1805"/>
            <w:vAlign w:val="center"/>
            <w:tcMar>
              <w:top w:w="60" w:type="dxa"/>
              <w:left w:w="90" w:type="dxa"/>
              <w:bottom w:w="60" w:type="dxa"/>
              <w:right w:w="90" w:type="dxa"/>
            </w:tcMar>
          </w:tcPr>
          <w:p>
            <w:pPr>
              <w:spacing w:after="40" w:line="276" w:lineRule="auto"/>
            </w:pPr>
            <w:r>
              <w:rPr>
                <w:b w:val="0"/>
                <w:i w:val="0"/>
                <w:sz w:val="18"/>
              </w:rPr>
              <w:t>11.9</w:t>
            </w:r>
          </w:p>
        </w:tc>
        <w:tc>
          <w:tcPr>
            <w:tcW w:type="dxa" w:w="1598"/>
            <w:vAlign w:val="center"/>
            <w:tcMar>
              <w:top w:w="60" w:type="dxa"/>
              <w:left w:w="90" w:type="dxa"/>
              <w:bottom w:w="60" w:type="dxa"/>
              <w:right w:w="90" w:type="dxa"/>
            </w:tcMar>
          </w:tcPr>
          <w:p>
            <w:pPr>
              <w:spacing w:after="40" w:line="276" w:lineRule="auto"/>
            </w:pPr>
            <w:r>
              <w:rPr>
                <w:b w:val="0"/>
                <w:i w:val="0"/>
                <w:sz w:val="18"/>
              </w:rPr>
              <w:t>CO₂e</w:t>
            </w:r>
          </w:p>
        </w:tc>
        <w:tc>
          <w:tcPr>
            <w:tcW w:type="dxa" w:w="3195"/>
            <w:vAlign w:val="center"/>
            <w:tcMar>
              <w:top w:w="60" w:type="dxa"/>
              <w:left w:w="90" w:type="dxa"/>
              <w:bottom w:w="60" w:type="dxa"/>
              <w:right w:w="90" w:type="dxa"/>
            </w:tcMar>
          </w:tcPr>
          <w:p>
            <w:pPr>
              <w:spacing w:after="40" w:line="276" w:lineRule="auto"/>
            </w:pPr>
            <w:r>
              <w:rPr>
                <w:b w:val="0"/>
                <w:i w:val="0"/>
                <w:sz w:val="18"/>
              </w:rPr>
              <w:t>NVE annual mean for physical electricity delivery in 2024</w:t>
            </w:r>
          </w:p>
        </w:tc>
      </w:tr>
    </w:tbl>
    <w:p>
      <w:pPr>
        <w:spacing w:after="20"/>
      </w:pPr>
    </w:p>
    <w:p>
      <w:r>
        <w:rPr>
          <w:b w:val="0"/>
          <w:i w:val="0"/>
        </w:rPr>
        <w:t>The source factors are converted to kg/MWh, with 1 g/kWh numerically equal to 1 kg/MWh. The original unit of Norway's factor is gCO₂e/kWh.</w:t>
      </w:r>
    </w:p>
    <w:p>
      <w:r>
        <w:rPr>
          <w:b w:val="0"/>
          <w:i w:val="0"/>
        </w:rPr>
        <w:t>The biomass calculation uses the fixed factor of 120 kgCO₂e/MWh in the table. Its source reports an uncertainty range of ±120 gCO₂/kWh.</w:t>
      </w:r>
    </w:p>
    <w:p>
      <w:pPr>
        <w:pStyle w:val="Heading2"/>
      </w:pPr>
      <w:r>
        <w:rPr>
          <w:b w:val="0"/>
          <w:i w:val="0"/>
        </w:rPr>
        <w:t>Construction emissions annualised by power capacity</w:t>
      </w:r>
    </w:p>
    <w:p>
      <w:pPr>
        <w:keepNext/>
      </w:pPr>
      <w:r>
        <w:rPr>
          <w:b w:val="0"/>
          <w:i w:val="0"/>
        </w:rPr>
        <w:t xml:space="preserve">Construction emissions are annualised for each operating asset. In </w:t>
      </w:r>
      <w:r>
        <w:rPr>
          <w:rFonts w:ascii="DejaVu Sans Mono" w:hAnsi="DejaVu Sans Mono"/>
          <w:b w:val="0"/>
          <w:i w:val="0"/>
          <w:sz w:val="17"/>
        </w:rPr>
        <w:t>_asset_embodied_lines</w:t>
      </w:r>
      <w:r>
        <w:rPr>
          <w:b w:val="0"/>
          <w:i w:val="0"/>
        </w:rPr>
        <w:t xml:space="preserve">, </w:t>
      </w:r>
      <w:r>
        <w:rPr>
          <w:rFonts w:ascii="DejaVu Sans Mono" w:hAnsi="DejaVu Sans Mono"/>
          <w:b w:val="0"/>
          <w:i w:val="0"/>
          <w:sz w:val="17"/>
        </w:rPr>
        <w:t>capacity_mw</w:t>
      </w:r>
      <w:r>
        <w:rPr>
          <w:b w:val="0"/>
          <w:i w:val="0"/>
        </w:rPr>
        <w:t xml:space="preserve"> is operating power in MW and </w:t>
      </w:r>
      <w:r>
        <w:rPr>
          <w:rFonts w:ascii="DejaVu Sans Mono" w:hAnsi="DejaVu Sans Mono"/>
          <w:b w:val="0"/>
          <w:i w:val="0"/>
          <w:sz w:val="17"/>
        </w:rPr>
        <w:t>factor.value</w:t>
      </w:r>
      <w:r>
        <w:rPr>
          <w:b w:val="0"/>
          <w:i w:val="0"/>
        </w:rPr>
        <w:t xml:space="preserve"> is its selected annual factor in tCO₂e/(MW·year). The per-asset value </w:t>
      </w:r>
      <w:r>
        <w:rPr>
          <w:rFonts w:ascii="DejaVu Sans Mono" w:hAnsi="DejaVu Sans Mono"/>
          <w:b w:val="0"/>
          <w:i w:val="0"/>
          <w:sz w:val="17"/>
        </w:rPr>
        <w:t>emissions</w:t>
      </w:r>
      <w:r>
        <w:rPr>
          <w:b w:val="0"/>
          <w:i w:val="0"/>
        </w:rPr>
        <w:t xml:space="preserve"> becomes </w:t>
      </w:r>
      <w:r>
        <w:rPr>
          <w:rFonts w:ascii="DejaVu Sans Mono" w:hAnsi="DejaVu Sans Mono"/>
          <w:b w:val="0"/>
          <w:i w:val="0"/>
          <w:sz w:val="17"/>
        </w:rPr>
        <w:t>line.emissions_tco2e</w:t>
      </w:r>
      <w:r>
        <w:rPr>
          <w:b w:val="0"/>
          <w:i w:val="0"/>
        </w:rPr>
        <w:t xml:space="preserve">; </w:t>
      </w:r>
      <w:r>
        <w:rPr>
          <w:rFonts w:ascii="DejaVu Sans Mono" w:hAnsi="DejaVu Sans Mono"/>
          <w:b w:val="0"/>
          <w:i w:val="0"/>
          <w:sz w:val="17"/>
        </w:rPr>
        <w:t>embodied</w:t>
      </w:r>
      <w:r>
        <w:rPr>
          <w:b w:val="0"/>
          <w:i w:val="0"/>
        </w:rPr>
        <w:t xml:space="preserve"> sums the construction entries:</w:t>
      </w:r>
    </w:p>
    <w:p>
      <w:pPr>
        <w:spacing w:after="160"/>
        <w:jc w:val="center"/>
      </w:pPr>
      <w:r>
        <w:drawing>
          <wp:inline xmlns:a="http://schemas.openxmlformats.org/drawingml/2006/main" xmlns:pic="http://schemas.openxmlformats.org/drawingml/2006/picture">
            <wp:extent cx="3413607" cy="466427"/>
            <wp:docPr id="181" name="Picture 181"/>
            <wp:cNvGraphicFramePr>
              <a:graphicFrameLocks noChangeAspect="1"/>
            </wp:cNvGraphicFramePr>
            <a:graphic>
              <a:graphicData uri="http://schemas.openxmlformats.org/drawingml/2006/picture">
                <pic:pic>
                  <pic:nvPicPr>
                    <pic:cNvPr id="0" name="eq-181.png"/>
                    <pic:cNvPicPr/>
                  </pic:nvPicPr>
                  <pic:blipFill>
                    <a:blip r:embed="rId162"/>
                    <a:stretch>
                      <a:fillRect/>
                    </a:stretch>
                  </pic:blipFill>
                  <pic:spPr>
                    <a:xfrm>
                      <a:off x="0" y="0"/>
                      <a:ext cx="3413607" cy="466427"/>
                    </a:xfrm>
                    <a:prstGeom prst="rect"/>
                  </pic:spPr>
                </pic:pic>
              </a:graphicData>
            </a:graphic>
          </wp:inline>
        </w:drawing>
      </w:r>
    </w:p>
    <w:p>
      <w:r>
        <w:rPr>
          <w:b w:val="0"/>
          <w:i w:val="0"/>
        </w:rPr>
        <w:t xml:space="preserve">Annual construction factors come from </w:t>
      </w:r>
      <w:r>
        <w:rPr>
          <w:rFonts w:ascii="DejaVu Sans Mono" w:hAnsi="DejaVu Sans Mono"/>
          <w:b w:val="0"/>
          <w:i w:val="0"/>
          <w:sz w:val="17"/>
        </w:rPr>
        <w:t>embodied_​factors_​desnz_​unece.csv</w:t>
      </w:r>
      <w:r>
        <w:rPr>
          <w:b w:val="0"/>
          <w:i w:val="0"/>
        </w:rPr>
        <w:t>. Open-cycle gas uses the combined-cycle gas construction factor, and the electrolyser uses the proxy recorded in that table.</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197"/>
        <w:gridCol w:w="5595"/>
      </w:tblGrid>
      <w:tr>
        <w:trPr>
          <w:cantSplit/>
          <w:tblHeader w:val="true"/>
        </w:trPr>
        <w:tc>
          <w:tcPr>
            <w:tcW w:type="dxa" w:w="4197"/>
            <w:vAlign w:val="center"/>
            <w:tcMar>
              <w:top w:w="60" w:type="dxa"/>
              <w:left w:w="90" w:type="dxa"/>
              <w:bottom w:w="60" w:type="dxa"/>
              <w:right w:w="90" w:type="dxa"/>
            </w:tcMar>
            <w:shd w:fill="EEEEEE"/>
          </w:tcPr>
          <w:p>
            <w:pPr>
              <w:spacing w:after="40" w:line="276" w:lineRule="auto"/>
            </w:pPr>
            <w:r>
              <w:rPr>
                <w:b/>
                <w:i w:val="0"/>
                <w:sz w:val="18"/>
              </w:rPr>
              <w:t>Technology</w:t>
            </w:r>
          </w:p>
        </w:tc>
        <w:tc>
          <w:tcPr>
            <w:tcW w:type="dxa" w:w="5595"/>
            <w:vAlign w:val="center"/>
            <w:tcMar>
              <w:top w:w="60" w:type="dxa"/>
              <w:left w:w="90" w:type="dxa"/>
              <w:bottom w:w="60" w:type="dxa"/>
              <w:right w:w="90" w:type="dxa"/>
            </w:tcMar>
            <w:shd w:fill="EEEEEE"/>
          </w:tcPr>
          <w:p>
            <w:pPr>
              <w:spacing w:after="40" w:line="276" w:lineRule="auto"/>
            </w:pPr>
            <w:r>
              <w:rPr>
                <w:b/>
                <w:i w:val="0"/>
                <w:sz w:val="18"/>
              </w:rPr>
              <w:t>Annual factor tCO₂e/(MW·year)</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Solar</w:t>
            </w:r>
          </w:p>
        </w:tc>
        <w:tc>
          <w:tcPr>
            <w:tcW w:type="dxa" w:w="5595"/>
            <w:vAlign w:val="center"/>
            <w:tcMar>
              <w:top w:w="60" w:type="dxa"/>
              <w:left w:w="90" w:type="dxa"/>
              <w:bottom w:w="60" w:type="dxa"/>
              <w:right w:w="90" w:type="dxa"/>
            </w:tcMar>
          </w:tcPr>
          <w:p>
            <w:pPr>
              <w:spacing w:after="40" w:line="276" w:lineRule="auto"/>
            </w:pPr>
            <w:r>
              <w:rPr>
                <w:b w:val="0"/>
                <w:i w:val="0"/>
                <w:sz w:val="18"/>
              </w:rPr>
              <w:t>38.544</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Onshore wind</w:t>
            </w:r>
          </w:p>
        </w:tc>
        <w:tc>
          <w:tcPr>
            <w:tcW w:type="dxa" w:w="5595"/>
            <w:vAlign w:val="center"/>
            <w:tcMar>
              <w:top w:w="60" w:type="dxa"/>
              <w:left w:w="90" w:type="dxa"/>
              <w:bottom w:w="60" w:type="dxa"/>
              <w:right w:w="90" w:type="dxa"/>
            </w:tcMar>
          </w:tcPr>
          <w:p>
            <w:pPr>
              <w:spacing w:after="40" w:line="276" w:lineRule="auto"/>
            </w:pPr>
            <w:r>
              <w:rPr>
                <w:b w:val="0"/>
                <w:i w:val="0"/>
                <w:sz w:val="18"/>
              </w:rPr>
              <w:t>47.304</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Offshore wind</w:t>
            </w:r>
          </w:p>
        </w:tc>
        <w:tc>
          <w:tcPr>
            <w:tcW w:type="dxa" w:w="5595"/>
            <w:vAlign w:val="center"/>
            <w:tcMar>
              <w:top w:w="60" w:type="dxa"/>
              <w:left w:w="90" w:type="dxa"/>
              <w:bottom w:w="60" w:type="dxa"/>
              <w:right w:w="90" w:type="dxa"/>
            </w:tcMar>
          </w:tcPr>
          <w:p>
            <w:pPr>
              <w:spacing w:after="40" w:line="276" w:lineRule="auto"/>
            </w:pPr>
            <w:r>
              <w:rPr>
                <w:b w:val="0"/>
                <w:i w:val="0"/>
                <w:sz w:val="18"/>
              </w:rPr>
              <w:t>96.1848</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Nuclear</w:t>
            </w:r>
          </w:p>
        </w:tc>
        <w:tc>
          <w:tcPr>
            <w:tcW w:type="dxa" w:w="5595"/>
            <w:vAlign w:val="center"/>
            <w:tcMar>
              <w:top w:w="60" w:type="dxa"/>
              <w:left w:w="90" w:type="dxa"/>
              <w:bottom w:w="60" w:type="dxa"/>
              <w:right w:w="90" w:type="dxa"/>
            </w:tcMar>
          </w:tcPr>
          <w:p>
            <w:pPr>
              <w:spacing w:after="40" w:line="276" w:lineRule="auto"/>
            </w:pPr>
            <w:r>
              <w:rPr>
                <w:b w:val="0"/>
                <w:i w:val="0"/>
                <w:sz w:val="18"/>
              </w:rPr>
              <w:t>43.362</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Conventional hydro</w:t>
            </w:r>
          </w:p>
        </w:tc>
        <w:tc>
          <w:tcPr>
            <w:tcW w:type="dxa" w:w="5595"/>
            <w:vAlign w:val="center"/>
            <w:tcMar>
              <w:top w:w="60" w:type="dxa"/>
              <w:left w:w="90" w:type="dxa"/>
              <w:bottom w:w="60" w:type="dxa"/>
              <w:right w:w="90" w:type="dxa"/>
            </w:tcMar>
          </w:tcPr>
          <w:p>
            <w:pPr>
              <w:spacing w:after="40" w:line="276" w:lineRule="auto"/>
            </w:pPr>
            <w:r>
              <w:rPr>
                <w:b w:val="0"/>
                <w:i w:val="0"/>
                <w:sz w:val="18"/>
              </w:rPr>
              <w:t>61.32</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Pumped hydro</w:t>
            </w:r>
          </w:p>
        </w:tc>
        <w:tc>
          <w:tcPr>
            <w:tcW w:type="dxa" w:w="5595"/>
            <w:vAlign w:val="center"/>
            <w:tcMar>
              <w:top w:w="60" w:type="dxa"/>
              <w:left w:w="90" w:type="dxa"/>
              <w:bottom w:w="60" w:type="dxa"/>
              <w:right w:w="90" w:type="dxa"/>
            </w:tcMar>
          </w:tcPr>
          <w:p>
            <w:pPr>
              <w:spacing w:after="40" w:line="276" w:lineRule="auto"/>
            </w:pPr>
            <w:r>
              <w:rPr>
                <w:b w:val="0"/>
                <w:i w:val="0"/>
                <w:sz w:val="18"/>
              </w:rPr>
              <w:t>98.55</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Combined-cycle gas</w:t>
            </w:r>
          </w:p>
        </w:tc>
        <w:tc>
          <w:tcPr>
            <w:tcW w:type="dxa" w:w="5595"/>
            <w:vAlign w:val="center"/>
            <w:tcMar>
              <w:top w:w="60" w:type="dxa"/>
              <w:left w:w="90" w:type="dxa"/>
              <w:bottom w:w="60" w:type="dxa"/>
              <w:right w:w="90" w:type="dxa"/>
            </w:tcMar>
          </w:tcPr>
          <w:p>
            <w:pPr>
              <w:spacing w:after="40" w:line="276" w:lineRule="auto"/>
            </w:pPr>
            <w:r>
              <w:rPr>
                <w:b w:val="0"/>
                <w:i w:val="0"/>
                <w:sz w:val="18"/>
              </w:rPr>
              <w:t>16.2936</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Open-cycle gas</w:t>
            </w:r>
          </w:p>
        </w:tc>
        <w:tc>
          <w:tcPr>
            <w:tcW w:type="dxa" w:w="5595"/>
            <w:vAlign w:val="center"/>
            <w:tcMar>
              <w:top w:w="60" w:type="dxa"/>
              <w:left w:w="90" w:type="dxa"/>
              <w:bottom w:w="60" w:type="dxa"/>
              <w:right w:w="90" w:type="dxa"/>
            </w:tcMar>
          </w:tcPr>
          <w:p>
            <w:pPr>
              <w:spacing w:after="40" w:line="276" w:lineRule="auto"/>
            </w:pPr>
            <w:r>
              <w:rPr>
                <w:b w:val="0"/>
                <w:i w:val="0"/>
                <w:sz w:val="18"/>
              </w:rPr>
              <w:t>16.2936</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Biomass</w:t>
            </w:r>
          </w:p>
        </w:tc>
        <w:tc>
          <w:tcPr>
            <w:tcW w:type="dxa" w:w="5595"/>
            <w:vAlign w:val="center"/>
            <w:tcMar>
              <w:top w:w="60" w:type="dxa"/>
              <w:left w:w="90" w:type="dxa"/>
              <w:bottom w:w="60" w:type="dxa"/>
              <w:right w:w="90" w:type="dxa"/>
            </w:tcMar>
          </w:tcPr>
          <w:p>
            <w:pPr>
              <w:spacing w:after="40" w:line="276" w:lineRule="auto"/>
            </w:pPr>
            <w:r>
              <w:rPr>
                <w:b w:val="0"/>
                <w:i w:val="0"/>
                <w:sz w:val="18"/>
              </w:rPr>
              <w:t>22.0752</w:t>
            </w:r>
          </w:p>
        </w:tc>
      </w:tr>
      <w:tr>
        <w:trPr>
          <w:cantSplit/>
        </w:trPr>
        <w:tc>
          <w:tcPr>
            <w:tcW w:type="dxa" w:w="4197"/>
            <w:vAlign w:val="center"/>
            <w:tcMar>
              <w:top w:w="60" w:type="dxa"/>
              <w:left w:w="90" w:type="dxa"/>
              <w:bottom w:w="60" w:type="dxa"/>
              <w:right w:w="90" w:type="dxa"/>
            </w:tcMar>
          </w:tcPr>
          <w:p>
            <w:pPr>
              <w:spacing w:after="40" w:line="276" w:lineRule="auto"/>
            </w:pPr>
            <w:r>
              <w:rPr>
                <w:b w:val="0"/>
                <w:i w:val="0"/>
                <w:sz w:val="18"/>
              </w:rPr>
              <w:t>Electrolyser</w:t>
            </w:r>
          </w:p>
        </w:tc>
        <w:tc>
          <w:tcPr>
            <w:tcW w:type="dxa" w:w="5595"/>
            <w:vAlign w:val="center"/>
            <w:tcMar>
              <w:top w:w="60" w:type="dxa"/>
              <w:left w:w="90" w:type="dxa"/>
              <w:bottom w:w="60" w:type="dxa"/>
              <w:right w:w="90" w:type="dxa"/>
            </w:tcMar>
          </w:tcPr>
          <w:p>
            <w:pPr>
              <w:spacing w:after="40" w:line="276" w:lineRule="auto"/>
            </w:pPr>
            <w:r>
              <w:rPr>
                <w:b w:val="0"/>
                <w:i w:val="0"/>
                <w:sz w:val="18"/>
              </w:rPr>
              <w:t>1.25</w:t>
            </w:r>
          </w:p>
        </w:tc>
      </w:tr>
    </w:tbl>
    <w:p>
      <w:pPr>
        <w:spacing w:after="20"/>
      </w:pPr>
    </w:p>
    <w:p>
      <w:pPr>
        <w:pStyle w:val="Heading2"/>
      </w:pPr>
      <w:r>
        <w:rPr>
          <w:b w:val="0"/>
          <w:i w:val="0"/>
        </w:rPr>
        <w:t>Storage emissions measured by energy capacity</w:t>
      </w:r>
    </w:p>
    <w:p>
      <w:pPr>
        <w:keepNext/>
      </w:pPr>
      <w:r>
        <w:rPr>
          <w:b w:val="0"/>
          <w:i w:val="0"/>
        </w:rPr>
        <w:t xml:space="preserve">Battery manufacturing emissions are annualised by rated energy capacity and equipment life. The selected factor is 89 kgCO₂e/kWh of capacity, the midpoint applied in the Longfield Solar Farm environmental statement of 2022. </w:t>
      </w:r>
      <w:r>
        <w:rPr>
          <w:rFonts w:ascii="DejaVu Sans Mono" w:hAnsi="DejaVu Sans Mono"/>
          <w:b w:val="0"/>
          <w:i w:val="0"/>
          <w:sz w:val="17"/>
        </w:rPr>
        <w:t>_asset_embodied_lines</w:t>
      </w:r>
      <w:r>
        <w:rPr>
          <w:b w:val="0"/>
          <w:i w:val="0"/>
        </w:rPr>
        <w:t xml:space="preserve"> reads </w:t>
      </w:r>
      <w:r>
        <w:rPr>
          <w:rFonts w:ascii="DejaVu Sans Mono" w:hAnsi="DejaVu Sans Mono"/>
          <w:b w:val="0"/>
          <w:i w:val="0"/>
          <w:sz w:val="17"/>
        </w:rPr>
        <w:t>asset.energy_​capacity_​mwh</w:t>
      </w:r>
      <w:r>
        <w:rPr>
          <w:b w:val="0"/>
          <w:i w:val="0"/>
        </w:rPr>
        <w:t xml:space="preserve"> in MWh and </w:t>
      </w:r>
      <w:r>
        <w:rPr>
          <w:rFonts w:ascii="DejaVu Sans Mono" w:hAnsi="DejaVu Sans Mono"/>
          <w:b w:val="0"/>
          <w:i w:val="0"/>
          <w:sz w:val="17"/>
        </w:rPr>
        <w:t>economic_life</w:t>
      </w:r>
      <w:r>
        <w:rPr>
          <w:b w:val="0"/>
          <w:i w:val="0"/>
        </w:rPr>
        <w:t xml:space="preserve"> in years from </w:t>
      </w:r>
      <w:r>
        <w:rPr>
          <w:rFonts w:ascii="DejaVu Sans Mono" w:hAnsi="DejaVu Sans Mono"/>
          <w:b w:val="0"/>
          <w:i w:val="0"/>
          <w:sz w:val="17"/>
        </w:rPr>
        <w:t>economic_lifetime_years</w:t>
      </w:r>
      <w:r>
        <w:rPr>
          <w:b w:val="0"/>
          <w:i w:val="0"/>
        </w:rPr>
        <w:t>. Annual manufacturing emissions are</w:t>
      </w:r>
    </w:p>
    <w:p>
      <w:pPr>
        <w:spacing w:after="160"/>
        <w:jc w:val="center"/>
      </w:pPr>
      <w:r>
        <w:drawing>
          <wp:inline xmlns:a="http://schemas.openxmlformats.org/drawingml/2006/main" xmlns:pic="http://schemas.openxmlformats.org/drawingml/2006/picture">
            <wp:extent cx="4900269" cy="367977"/>
            <wp:docPr id="182" name="Picture 182"/>
            <wp:cNvGraphicFramePr>
              <a:graphicFrameLocks noChangeAspect="1"/>
            </wp:cNvGraphicFramePr>
            <a:graphic>
              <a:graphicData uri="http://schemas.openxmlformats.org/drawingml/2006/picture">
                <pic:pic>
                  <pic:nvPicPr>
                    <pic:cNvPr id="0" name="eq-182.png"/>
                    <pic:cNvPicPr/>
                  </pic:nvPicPr>
                  <pic:blipFill>
                    <a:blip r:embed="rId163"/>
                    <a:stretch>
                      <a:fillRect/>
                    </a:stretch>
                  </pic:blipFill>
                  <pic:spPr>
                    <a:xfrm>
                      <a:off x="0" y="0"/>
                      <a:ext cx="4900269" cy="367977"/>
                    </a:xfrm>
                    <a:prstGeom prst="rect"/>
                  </pic:spPr>
                </pic:pic>
              </a:graphicData>
            </a:graphic>
          </wp:inline>
        </w:drawing>
      </w:r>
    </w:p>
    <w:p>
      <w:r>
        <w:rPr>
          <w:b w:val="0"/>
          <w:i w:val="0"/>
        </w:rPr>
        <w:t xml:space="preserve">Hydrogen storage accounts separately for power equipment and energy storage. The energy-storage component uses a lifetime factor of 0.0006 tCO₂e/MWh of capacity, annualised over the asset's declared economic life. It is stored as </w:t>
      </w:r>
      <w:r>
        <w:rPr>
          <w:rFonts w:ascii="DejaVu Sans Mono" w:hAnsi="DejaVu Sans Mono"/>
          <w:b w:val="0"/>
          <w:i w:val="0"/>
          <w:sz w:val="17"/>
        </w:rPr>
        <w:t>ch4_h2_store_lifetime</w:t>
      </w:r>
      <w:r>
        <w:rPr>
          <w:b w:val="0"/>
          <w:i w:val="0"/>
        </w:rPr>
        <w:t xml:space="preserve"> in </w:t>
      </w:r>
      <w:r>
        <w:rPr>
          <w:rFonts w:ascii="DejaVu Sans Mono" w:hAnsi="DejaVu Sans Mono"/>
          <w:b w:val="0"/>
          <w:i w:val="0"/>
          <w:sz w:val="17"/>
        </w:rPr>
        <w:t>factor_catalog.csv</w:t>
      </w:r>
      <w:r>
        <w:rPr>
          <w:b w:val="0"/>
          <w:i w:val="0"/>
        </w:rPr>
        <w:t>. The electrolyser power component uses the annual factor in the preceding section.</w:t>
      </w:r>
    </w:p>
    <w:p>
      <w:pPr>
        <w:pStyle w:val="Heading2"/>
      </w:pPr>
      <w:r>
        <w:rPr>
          <w:b w:val="0"/>
          <w:i w:val="0"/>
        </w:rPr>
        <w:t>Carbon carried by stored electricity</w:t>
      </w:r>
    </w:p>
    <w:p>
      <w:r>
        <w:rPr>
          <w:b w:val="0"/>
          <w:i w:val="0"/>
        </w:rPr>
        <w:t xml:space="preserve">Battery discharge enters </w:t>
      </w:r>
      <w:r>
        <w:rPr>
          <w:rFonts w:ascii="DejaVu Sans Mono" w:hAnsi="DejaVu Sans Mono"/>
          <w:b w:val="0"/>
          <w:i w:val="0"/>
          <w:sz w:val="17"/>
        </w:rPr>
        <w:t>storage_​carried_​transfer</w:t>
      </w:r>
      <w:r>
        <w:rPr>
          <w:b w:val="0"/>
          <w:i w:val="0"/>
        </w:rPr>
        <w:t xml:space="preserve"> as a transfer of stored electricity, with zero additional operational emissions. Pumped hydro uses the zero operational factor in the table. Emissions from the charging source enter the generation or imported-electricity account. When </w:t>
      </w:r>
      <w:r>
        <w:rPr>
          <w:rFonts w:ascii="DejaVu Sans Mono" w:hAnsi="DejaVu Sans Mono"/>
          <w:b w:val="0"/>
          <w:i w:val="0"/>
          <w:sz w:val="17"/>
        </w:rPr>
        <w:t>storage_trace</w:t>
      </w:r>
      <w:r>
        <w:rPr>
          <w:b w:val="0"/>
          <w:i w:val="0"/>
        </w:rPr>
        <w:t xml:space="preserve"> is supplied, a mixed-inventory calculation also tracks the emissions held in storage. Its inputs are period </w:t>
      </w:r>
      <w:r>
        <w:rPr>
          <w:rFonts w:ascii="DejaVu Sans Mono" w:hAnsi="DejaVu Sans Mono"/>
          <w:b w:val="0"/>
          <w:i w:val="0"/>
          <w:sz w:val="17"/>
        </w:rPr>
        <w:t>charge_mwh</w:t>
      </w:r>
      <w:r>
        <w:rPr>
          <w:b w:val="0"/>
          <w:i w:val="0"/>
        </w:rPr>
        <w:t xml:space="preserve">, </w:t>
      </w:r>
      <w:r>
        <w:rPr>
          <w:rFonts w:ascii="DejaVu Sans Mono" w:hAnsi="DejaVu Sans Mono"/>
          <w:b w:val="0"/>
          <w:i w:val="0"/>
          <w:sz w:val="17"/>
        </w:rPr>
        <w:t>discharge_mwh</w:t>
      </w:r>
      <w:r>
        <w:rPr>
          <w:b w:val="0"/>
          <w:i w:val="0"/>
        </w:rPr>
        <w:t xml:space="preserve">, </w:t>
      </w:r>
      <w:r>
        <w:rPr>
          <w:rFonts w:ascii="DejaVu Sans Mono" w:hAnsi="DejaVu Sans Mono"/>
          <w:b w:val="0"/>
          <w:i w:val="0"/>
          <w:sz w:val="17"/>
        </w:rPr>
        <w:t>charge_​source_​kgco2e_​per_​mwh</w:t>
      </w:r>
      <w:r>
        <w:rPr>
          <w:b w:val="0"/>
          <w:i w:val="0"/>
        </w:rPr>
        <w:t xml:space="preserve"> and charge and discharge efficiencies.</w:t>
      </w:r>
    </w:p>
    <w:p>
      <w:r>
        <w:rPr>
          <w:b w:val="0"/>
          <w:i w:val="0"/>
        </w:rPr>
        <w:t xml:space="preserve">The carbon inventory starts at zero. Charging adds emissions at the source intensity; discharging removes the fraction associated with the withdrawn inventory energy. In the calculation below, </w:t>
      </w:r>
      <w:r>
        <w:rPr>
          <w:rFonts w:ascii="DejaVu Sans Mono" w:hAnsi="DejaVu Sans Mono"/>
          <w:b w:val="0"/>
          <w:i w:val="0"/>
          <w:sz w:val="17"/>
        </w:rPr>
        <w:t>inventory_energy</w:t>
      </w:r>
      <w:r>
        <w:rPr>
          <w:b w:val="0"/>
          <w:i w:val="0"/>
        </w:rPr>
        <w:t xml:space="preserve"> is in MWh and </w:t>
      </w:r>
      <w:r>
        <w:rPr>
          <w:rFonts w:ascii="DejaVu Sans Mono" w:hAnsi="DejaVu Sans Mono"/>
          <w:b w:val="0"/>
          <w:i w:val="0"/>
          <w:sz w:val="17"/>
        </w:rPr>
        <w:t>inventory_kg</w:t>
      </w:r>
      <w:r>
        <w:rPr>
          <w:b w:val="0"/>
          <w:i w:val="0"/>
        </w:rPr>
        <w:t xml:space="preserve"> in kg; </w:t>
      </w:r>
      <w:r>
        <w:rPr>
          <w:rFonts w:ascii="DejaVu Sans Mono" w:hAnsi="DejaVu Sans Mono"/>
          <w:b w:val="0"/>
          <w:i w:val="0"/>
          <w:sz w:val="17"/>
        </w:rPr>
        <w:t>ending_inventory</w:t>
      </w:r>
      <w:r>
        <w:rPr>
          <w:b w:val="0"/>
          <w:i w:val="0"/>
        </w:rPr>
        <w:t xml:space="preserve"> converts the closing carbon inventory to tonnes. Each period checks </w:t>
      </w:r>
      <w:r>
        <w:rPr>
          <w:rFonts w:ascii="DejaVu Sans Mono" w:hAnsi="DejaVu Sans Mono"/>
          <w:b w:val="0"/>
          <w:i w:val="0"/>
          <w:sz w:val="17"/>
        </w:rPr>
        <w:t>withdrawn</w:t>
      </w:r>
      <w:r>
        <w:rPr>
          <w:b w:val="0"/>
          <w:i w:val="0"/>
        </w:rPr>
        <w:t xml:space="preserve"> against available inventory; an excess above </w:t>
      </w:r>
      <w:r>
        <w:drawing>
          <wp:inline xmlns:a="http://schemas.openxmlformats.org/drawingml/2006/main" xmlns:pic="http://schemas.openxmlformats.org/drawingml/2006/picture">
            <wp:extent cx="328247" cy="146617"/>
            <wp:docPr id="183" name="Picture 183"/>
            <wp:cNvGraphicFramePr>
              <a:graphicFrameLocks noChangeAspect="1"/>
            </wp:cNvGraphicFramePr>
            <a:graphic>
              <a:graphicData uri="http://schemas.openxmlformats.org/drawingml/2006/picture">
                <pic:pic>
                  <pic:nvPicPr>
                    <pic:cNvPr id="0" name="eq-132.png"/>
                    <pic:cNvPicPr/>
                  </pic:nvPicPr>
                  <pic:blipFill>
                    <a:blip r:embed="rId126"/>
                    <a:stretch>
                      <a:fillRect/>
                    </a:stretch>
                  </pic:blipFill>
                  <pic:spPr>
                    <a:xfrm>
                      <a:off x="0" y="0"/>
                      <a:ext cx="328247" cy="146617"/>
                    </a:xfrm>
                    <a:prstGeom prst="rect"/>
                  </pic:spPr>
                </pic:pic>
              </a:graphicData>
            </a:graphic>
          </wp:inline>
        </w:drawing>
      </w:r>
      <w:r>
        <w:rPr>
          <w:b w:val="0"/>
          <w:i w:val="0"/>
        </w:rPr>
        <w:t xml:space="preserve"> MWh terminates the calculation with </w:t>
      </w:r>
      <w:r>
        <w:rPr>
          <w:rFonts w:ascii="DejaVu Sans Mono" w:hAnsi="DejaVu Sans Mono"/>
          <w:b w:val="0"/>
          <w:i w:val="0"/>
          <w:sz w:val="17"/>
        </w:rPr>
        <w:t>ValueError</w:t>
      </w:r>
      <w:r>
        <w:rPr>
          <w:b w:val="0"/>
          <w:i w:val="0"/>
        </w:rPr>
        <w:t>.</w:t>
      </w:r>
    </w:p>
    <w:p>
      <w:pPr>
        <w:keepLines/>
        <w:spacing w:line="276" w:lineRule="auto" w:after="160"/>
      </w:pPr>
      <w:r>
        <w:rPr>
          <w:rFonts w:ascii="DejaVu Sans Mono" w:hAnsi="DejaVu Sans Mono"/>
          <w:b w:val="0"/>
          <w:i w:val="0"/>
          <w:sz w:val="17"/>
        </w:rPr>
        <w:t>inventory_energy = 0.0</w:t>
        <w:br/>
        <w:t>inventory_kg = 0.0</w:t>
        <w:br/>
        <w:t>for charge, discharge, intensity in zip(</w:t>
        <w:br/>
        <w:t xml:space="preserve">    storage_​trace["charge_mwh"],</w:t>
        <w:br/>
        <w:t xml:space="preserve">    storage_​trace["discharge_mwh"],</w:t>
        <w:br/>
        <w:t xml:space="preserve">    storage_​trace["charge_source_kgco2e_per_mwh"]):</w:t>
        <w:br/>
        <w:t xml:space="preserve">    admitted = charge * storage_​trace["charge_efficiency"][0]</w:t>
        <w:br/>
        <w:t xml:space="preserve">    inventory_energy += admitted</w:t>
        <w:br/>
        <w:t xml:space="preserve">    inventory_kg += charge * intensity</w:t>
        <w:br/>
        <w:t xml:space="preserve">    withdrawn = discharge / storage_​trace["discharge_efficiency"][0]</w:t>
        <w:br/>
        <w:t xml:space="preserve">    if withdrawn &gt; inventory_energy + 1e-7:</w:t>
        <w:br/>
        <w:t xml:space="preserve">        raise ValueError("Storage withdrawal exceeds available inventory")</w:t>
        <w:br/>
        <w:t xml:space="preserve">    share = withdrawn / inventory_energy if inventory_energy &gt; 0 else 0.0</w:t>
        <w:br/>
        <w:t xml:space="preserve">    inventory_kg *= 1.0 - share</w:t>
        <w:br/>
        <w:t xml:space="preserve">    inventory_energy -= withdrawn</w:t>
        <w:br/>
        <w:t>ending_inventory = inventory_kg / 1000.0</w:t>
        <w:br/>
      </w:r>
    </w:p>
    <w:p>
      <w:r>
        <w:rPr>
          <w:b w:val="0"/>
          <w:i w:val="0"/>
        </w:rPr>
        <w:t xml:space="preserve">Hydrogen-storage operation enters </w:t>
      </w:r>
      <w:r>
        <w:rPr>
          <w:rFonts w:ascii="DejaVu Sans Mono" w:hAnsi="DejaVu Sans Mono"/>
          <w:b w:val="0"/>
          <w:i w:val="0"/>
          <w:sz w:val="17"/>
        </w:rPr>
        <w:t>unresolved</w:t>
      </w:r>
      <w:r>
        <w:rPr>
          <w:b w:val="0"/>
          <w:i w:val="0"/>
        </w:rPr>
        <w:t xml:space="preserve"> in the current ledger. </w:t>
      </w:r>
      <w:r>
        <w:rPr>
          <w:rFonts w:ascii="DejaVu Sans Mono" w:hAnsi="DejaVu Sans Mono"/>
          <w:b w:val="0"/>
          <w:i w:val="0"/>
          <w:sz w:val="17"/>
        </w:rPr>
        <w:t>_normalise_technology</w:t>
      </w:r>
      <w:r>
        <w:rPr>
          <w:b w:val="0"/>
          <w:i w:val="0"/>
        </w:rPr>
        <w:t xml:space="preserve"> maps </w:t>
      </w:r>
      <w:r>
        <w:rPr>
          <w:rFonts w:ascii="DejaVu Sans Mono" w:hAnsi="DejaVu Sans Mono"/>
          <w:b w:val="0"/>
          <w:i w:val="0"/>
          <w:sz w:val="17"/>
        </w:rPr>
        <w:t>hydrogen_battery</w:t>
      </w:r>
      <w:r>
        <w:rPr>
          <w:b w:val="0"/>
          <w:i w:val="0"/>
        </w:rPr>
        <w:t xml:space="preserve"> to </w:t>
      </w:r>
      <w:r>
        <w:rPr>
          <w:rFonts w:ascii="DejaVu Sans Mono" w:hAnsi="DejaVu Sans Mono"/>
          <w:b w:val="0"/>
          <w:i w:val="0"/>
          <w:sz w:val="17"/>
        </w:rPr>
        <w:t>hydrogen_storage</w:t>
      </w:r>
      <w:r>
        <w:rPr>
          <w:b w:val="0"/>
          <w:i w:val="0"/>
        </w:rPr>
        <w:t xml:space="preserve">, whose operational factor is empty; this activity makes </w:t>
      </w:r>
      <w:r>
        <w:rPr>
          <w:rFonts w:ascii="DejaVu Sans Mono" w:hAnsi="DejaVu Sans Mono"/>
          <w:b w:val="0"/>
          <w:i w:val="0"/>
          <w:sz w:val="17"/>
        </w:rPr>
        <w:t>operational</w:t>
      </w:r>
      <w:r>
        <w:rPr>
          <w:b w:val="0"/>
          <w:i w:val="0"/>
        </w:rPr>
        <w:t xml:space="preserve"> and </w:t>
      </w:r>
      <w:r>
        <w:rPr>
          <w:rFonts w:ascii="DejaVu Sans Mono" w:hAnsi="DejaVu Sans Mono"/>
          <w:b w:val="0"/>
          <w:i w:val="0"/>
          <w:sz w:val="17"/>
        </w:rPr>
        <w:t>total</w:t>
      </w:r>
      <w:r>
        <w:rPr>
          <w:b w:val="0"/>
          <w:i w:val="0"/>
        </w:rPr>
        <w:t xml:space="preserve"> return </w:t>
      </w:r>
      <w:r>
        <w:rPr>
          <w:rFonts w:ascii="DejaVu Sans Mono" w:hAnsi="DejaVu Sans Mono"/>
          <w:b w:val="0"/>
          <w:i w:val="0"/>
          <w:sz w:val="17"/>
        </w:rPr>
        <w:t>None</w:t>
      </w:r>
      <w:r>
        <w:rPr>
          <w:b w:val="0"/>
          <w:i w:val="0"/>
        </w:rPr>
        <w:t>. Hydrogen-storage construction emissions still use the power- and energy-capacity factors specified above.</w:t>
      </w:r>
    </w:p>
    <w:p>
      <w:pPr>
        <w:pStyle w:val="Heading2"/>
      </w:pPr>
      <w:r>
        <w:rPr>
          <w:b w:val="0"/>
          <w:i w:val="0"/>
        </w:rPr>
        <w:t>Annual emissions and intensity</w:t>
      </w:r>
    </w:p>
    <w:p>
      <w:pPr>
        <w:keepNext/>
      </w:pPr>
      <w:r>
        <w:rPr>
          <w:b w:val="0"/>
          <w:i w:val="0"/>
        </w:rPr>
        <w:t xml:space="preserve">Annual emissions </w:t>
      </w:r>
      <w:r>
        <w:rPr>
          <w:rFonts w:ascii="DejaVu Sans Mono" w:hAnsi="DejaVu Sans Mono"/>
          <w:b w:val="0"/>
          <w:i w:val="0"/>
          <w:sz w:val="17"/>
        </w:rPr>
        <w:t>total</w:t>
      </w:r>
      <w:r>
        <w:rPr>
          <w:b w:val="0"/>
          <w:i w:val="0"/>
        </w:rPr>
        <w:t xml:space="preserve"> sum operational emissions </w:t>
      </w:r>
      <w:r>
        <w:rPr>
          <w:rFonts w:ascii="DejaVu Sans Mono" w:hAnsi="DejaVu Sans Mono"/>
          <w:b w:val="0"/>
          <w:i w:val="0"/>
          <w:sz w:val="17"/>
        </w:rPr>
        <w:t>operational</w:t>
      </w:r>
      <w:r>
        <w:rPr>
          <w:b w:val="0"/>
          <w:i w:val="0"/>
        </w:rPr>
        <w:t xml:space="preserve"> and annualised construction emissions </w:t>
      </w:r>
      <w:r>
        <w:rPr>
          <w:rFonts w:ascii="DejaVu Sans Mono" w:hAnsi="DejaVu Sans Mono"/>
          <w:b w:val="0"/>
          <w:i w:val="0"/>
          <w:sz w:val="17"/>
        </w:rPr>
        <w:t>embodied</w:t>
      </w:r>
      <w:r>
        <w:rPr>
          <w:b w:val="0"/>
          <w:i w:val="0"/>
        </w:rPr>
        <w:t xml:space="preserve">. Aggregation requires a matching factor for each activity and energy capacity and a positive economic life for storage. </w:t>
      </w:r>
      <w:r>
        <w:rPr>
          <w:rFonts w:ascii="DejaVu Sans Mono" w:hAnsi="DejaVu Sans Mono"/>
          <w:b w:val="0"/>
          <w:i w:val="0"/>
          <w:sz w:val="17"/>
        </w:rPr>
        <w:t>delivered_demand_mwh</w:t>
      </w:r>
      <w:r>
        <w:rPr>
          <w:b w:val="0"/>
          <w:i w:val="0"/>
        </w:rPr>
        <w:t xml:space="preserve"> is served electricity; a positive value supplies the denominator for the following kg/MWh intensities:</w:t>
      </w:r>
    </w:p>
    <w:p>
      <w:pPr>
        <w:spacing w:after="160"/>
        <w:jc w:val="center"/>
      </w:pPr>
      <w:r>
        <w:drawing>
          <wp:inline xmlns:a="http://schemas.openxmlformats.org/drawingml/2006/main" xmlns:pic="http://schemas.openxmlformats.org/drawingml/2006/picture">
            <wp:extent cx="4108932" cy="1008369"/>
            <wp:docPr id="184" name="Picture 184"/>
            <wp:cNvGraphicFramePr>
              <a:graphicFrameLocks noChangeAspect="1"/>
            </wp:cNvGraphicFramePr>
            <a:graphic>
              <a:graphicData uri="http://schemas.openxmlformats.org/drawingml/2006/picture">
                <pic:pic>
                  <pic:nvPicPr>
                    <pic:cNvPr id="0" name="eq-184.png"/>
                    <pic:cNvPicPr/>
                  </pic:nvPicPr>
                  <pic:blipFill>
                    <a:blip r:embed="rId164"/>
                    <a:stretch>
                      <a:fillRect/>
                    </a:stretch>
                  </pic:blipFill>
                  <pic:spPr>
                    <a:xfrm>
                      <a:off x="0" y="0"/>
                      <a:ext cx="4108932" cy="1008369"/>
                    </a:xfrm>
                    <a:prstGeom prst="rect"/>
                  </pic:spPr>
                </pic:pic>
              </a:graphicData>
            </a:graphic>
          </wp:inline>
        </w:drawing>
      </w:r>
    </w:p>
    <w:p>
      <w:pPr>
        <w:pStyle w:val="Heading2"/>
      </w:pPr>
      <w:r>
        <w:rPr>
          <w:b w:val="0"/>
          <w:i w:val="0"/>
        </w:rPr>
        <w:t>Construction emissions from line expansion</w:t>
      </w:r>
    </w:p>
    <w:p>
      <w:pPr>
        <w:keepNext/>
      </w:pPr>
      <w:r>
        <w:rPr>
          <w:b w:val="0"/>
          <w:i w:val="0"/>
        </w:rPr>
        <w:t xml:space="preserve">Line construction enters </w:t>
      </w:r>
      <w:r>
        <w:rPr>
          <w:rFonts w:ascii="DejaVu Sans Mono" w:hAnsi="DejaVu Sans Mono"/>
          <w:b w:val="0"/>
          <w:i w:val="0"/>
          <w:sz w:val="17"/>
        </w:rPr>
        <w:t>network_​construction_​embodied</w:t>
      </w:r>
      <w:r>
        <w:rPr>
          <w:b w:val="0"/>
          <w:i w:val="0"/>
        </w:rPr>
        <w:t xml:space="preserve"> once in the commissioning year and is added to that year's </w:t>
      </w:r>
      <w:r>
        <w:rPr>
          <w:rFonts w:ascii="DejaVu Sans Mono" w:hAnsi="DejaVu Sans Mono"/>
          <w:b w:val="0"/>
          <w:i w:val="0"/>
          <w:sz w:val="17"/>
        </w:rPr>
        <w:t>total</w:t>
      </w:r>
      <w:r>
        <w:rPr>
          <w:b w:val="0"/>
          <w:i w:val="0"/>
        </w:rPr>
        <w:t xml:space="preserve">. </w:t>
      </w:r>
      <w:r>
        <w:rPr>
          <w:rFonts w:ascii="DejaVu Sans Mono" w:hAnsi="DejaVu Sans Mono"/>
          <w:b w:val="0"/>
          <w:i w:val="0"/>
          <w:sz w:val="17"/>
        </w:rPr>
        <w:t>adjust_​carbon_​ledger_​for_​network</w:t>
      </w:r>
      <w:r>
        <w:rPr>
          <w:b w:val="0"/>
          <w:i w:val="0"/>
        </w:rPr>
        <w:t xml:space="preserve"> selects network assets with </w:t>
      </w:r>
      <w:r>
        <w:rPr>
          <w:rFonts w:ascii="DejaVu Sans Mono" w:hAnsi="DejaVu Sans Mono"/>
          <w:b w:val="0"/>
          <w:i w:val="0"/>
          <w:sz w:val="17"/>
        </w:rPr>
        <w:t>commissioning_year == year</w:t>
      </w:r>
      <w:r>
        <w:rPr>
          <w:b w:val="0"/>
          <w:i w:val="0"/>
        </w:rPr>
        <w:t xml:space="preserve"> and </w:t>
      </w:r>
      <w:r>
        <w:rPr>
          <w:rFonts w:ascii="DejaVu Sans Mono" w:hAnsi="DejaVu Sans Mono"/>
          <w:b w:val="0"/>
          <w:i w:val="0"/>
          <w:sz w:val="17"/>
        </w:rPr>
        <w:t>status == "commissioned"</w:t>
      </w:r>
      <w:r>
        <w:rPr>
          <w:b w:val="0"/>
          <w:i w:val="0"/>
        </w:rPr>
        <w:t xml:space="preserve">. For each selected asset, </w:t>
      </w:r>
      <w:r>
        <w:rPr>
          <w:rFonts w:ascii="DejaVu Sans Mono" w:hAnsi="DejaVu Sans Mono"/>
          <w:b w:val="0"/>
          <w:i w:val="0"/>
          <w:sz w:val="17"/>
        </w:rPr>
        <w:t>rating</w:t>
      </w:r>
      <w:r>
        <w:rPr>
          <w:b w:val="0"/>
          <w:i w:val="0"/>
        </w:rPr>
        <w:t xml:space="preserve"> is MW, </w:t>
      </w:r>
      <w:r>
        <w:rPr>
          <w:rFonts w:ascii="DejaVu Sans Mono" w:hAnsi="DejaVu Sans Mono"/>
          <w:b w:val="0"/>
          <w:i w:val="0"/>
          <w:sz w:val="17"/>
        </w:rPr>
        <w:t>factor</w:t>
      </w:r>
      <w:r>
        <w:rPr>
          <w:b w:val="0"/>
          <w:i w:val="0"/>
        </w:rPr>
        <w:t xml:space="preserve"> reads </w:t>
      </w:r>
      <w:r>
        <w:rPr>
          <w:rFonts w:ascii="DejaVu Sans Mono" w:hAnsi="DejaVu Sans Mono"/>
          <w:b w:val="0"/>
          <w:i w:val="0"/>
          <w:sz w:val="17"/>
        </w:rPr>
        <w:t>asset.embodied_​carbon_​factor_​tco2e_​per_​mw</w:t>
      </w:r>
      <w:r>
        <w:rPr>
          <w:b w:val="0"/>
          <w:i w:val="0"/>
        </w:rPr>
        <w:t xml:space="preserve"> in tCO₂e/MW, and </w:t>
      </w:r>
      <w:r>
        <w:rPr>
          <w:rFonts w:ascii="DejaVu Sans Mono" w:hAnsi="DejaVu Sans Mono"/>
          <w:b w:val="0"/>
          <w:i w:val="0"/>
          <w:sz w:val="17"/>
        </w:rPr>
        <w:t>emissions</w:t>
      </w:r>
      <w:r>
        <w:rPr>
          <w:b w:val="0"/>
          <w:i w:val="0"/>
        </w:rPr>
        <w:t xml:space="preserve"> is tonnes:</w:t>
      </w:r>
    </w:p>
    <w:p>
      <w:pPr>
        <w:spacing w:after="160"/>
        <w:jc w:val="center"/>
      </w:pPr>
      <w:r>
        <w:drawing>
          <wp:inline xmlns:a="http://schemas.openxmlformats.org/drawingml/2006/main" xmlns:pic="http://schemas.openxmlformats.org/drawingml/2006/picture">
            <wp:extent cx="4603089" cy="1138202"/>
            <wp:docPr id="185" name="Picture 185"/>
            <wp:cNvGraphicFramePr>
              <a:graphicFrameLocks noChangeAspect="1"/>
            </wp:cNvGraphicFramePr>
            <a:graphic>
              <a:graphicData uri="http://schemas.openxmlformats.org/drawingml/2006/picture">
                <pic:pic>
                  <pic:nvPicPr>
                    <pic:cNvPr id="0" name="eq-185.png"/>
                    <pic:cNvPicPr/>
                  </pic:nvPicPr>
                  <pic:blipFill>
                    <a:blip r:embed="rId165"/>
                    <a:stretch>
                      <a:fillRect/>
                    </a:stretch>
                  </pic:blipFill>
                  <pic:spPr>
                    <a:xfrm>
                      <a:off x="0" y="0"/>
                      <a:ext cx="4603089" cy="1138202"/>
                    </a:xfrm>
                    <a:prstGeom prst="rect"/>
                  </pic:spPr>
                </pic:pic>
              </a:graphicData>
            </a:graphic>
          </wp:inline>
        </w:drawing>
      </w:r>
    </w:p>
    <w:p>
      <w:r>
        <w:rPr>
          <w:b w:val="0"/>
          <w:i w:val="0"/>
        </w:rPr>
        <w:t xml:space="preserve">The updated total supplies </w:t>
      </w:r>
      <w:r>
        <w:rPr>
          <w:rFonts w:ascii="DejaVu Sans Mono" w:hAnsi="DejaVu Sans Mono"/>
          <w:b w:val="0"/>
          <w:i w:val="0"/>
          <w:sz w:val="17"/>
        </w:rPr>
        <w:t>overall_kgco2e_per_mwh</w:t>
      </w:r>
      <w:r>
        <w:rPr>
          <w:b w:val="0"/>
          <w:i w:val="0"/>
        </w:rPr>
        <w:t xml:space="preserve"> and </w:t>
      </w:r>
      <w:r>
        <w:rPr>
          <w:rFonts w:ascii="DejaVu Sans Mono" w:hAnsi="DejaVu Sans Mono"/>
          <w:b w:val="0"/>
          <w:i w:val="0"/>
          <w:sz w:val="17"/>
        </w:rPr>
        <w:t>delivered_​demand_​kgco2e_​per_​mwh</w:t>
      </w:r>
      <w:r>
        <w:rPr>
          <w:b w:val="0"/>
          <w:i w:val="0"/>
        </w:rPr>
        <w:t xml:space="preserve">, using served electricity as </w:t>
      </w:r>
      <w:r>
        <w:rPr>
          <w:rFonts w:ascii="DejaVu Sans Mono" w:hAnsi="DejaVu Sans Mono"/>
          <w:b w:val="0"/>
          <w:i w:val="0"/>
          <w:sz w:val="17"/>
        </w:rPr>
        <w:t>denominator</w:t>
      </w:r>
      <w:r>
        <w:rPr>
          <w:b w:val="0"/>
          <w:i w:val="0"/>
        </w:rPr>
        <w:t xml:space="preserve"> when it is positive. A selected line with a missing factor receives an unresolved construction entry and makes the total return </w:t>
      </w:r>
      <w:r>
        <w:rPr>
          <w:rFonts w:ascii="DejaVu Sans Mono" w:hAnsi="DejaVu Sans Mono"/>
          <w:b w:val="0"/>
          <w:i w:val="0"/>
          <w:sz w:val="17"/>
        </w:rPr>
        <w:t>None</w:t>
      </w:r>
      <w:r>
        <w:rPr>
          <w:b w:val="0"/>
          <w:i w:val="0"/>
        </w:rPr>
        <w:t>. The supplied fixed 23-zone network retains its declared branches; this additional calculation accompanies the optional line-expansion module.</w:t>
      </w:r>
    </w:p>
    <w:p>
      <w:pPr>
        <w:pStyle w:val="Heading2"/>
      </w:pPr>
      <w:r>
        <w:rPr>
          <w:b w:val="0"/>
          <w:i w:val="0"/>
        </w:rPr>
        <w:t>Data and implementation</w:t>
      </w:r>
    </w:p>
    <w:p>
      <w:r>
        <w:rPr>
          <w:rFonts w:ascii="DejaVu Sans Mono" w:hAnsi="DejaVu Sans Mono"/>
          <w:b w:val="0"/>
          <w:i w:val="0"/>
          <w:sz w:val="17"/>
        </w:rPr>
        <w:t>factor_catalog.csv</w:t>
      </w:r>
      <w:r>
        <w:rPr>
          <w:b w:val="0"/>
          <w:i w:val="0"/>
        </w:rPr>
        <w:t xml:space="preserve"> stores the factors, units, accounting boundaries and source locations, while </w:t>
      </w:r>
      <w:r>
        <w:rPr>
          <w:rFonts w:ascii="DejaVu Sans Mono" w:hAnsi="DejaVu Sans Mono"/>
          <w:b w:val="0"/>
          <w:i w:val="0"/>
          <w:sz w:val="17"/>
        </w:rPr>
        <w:t>sources.csv</w:t>
      </w:r>
      <w:r>
        <w:rPr>
          <w:b w:val="0"/>
          <w:i w:val="0"/>
        </w:rPr>
        <w:t xml:space="preserve"> stores source names. </w:t>
      </w:r>
      <w:r>
        <w:rPr>
          <w:rFonts w:ascii="DejaVu Sans Mono" w:hAnsi="DejaVu Sans Mono"/>
          <w:b w:val="0"/>
          <w:i w:val="0"/>
          <w:sz w:val="17"/>
        </w:rPr>
        <w:t>CarbonFactorDatabase</w:t>
      </w:r>
      <w:r>
        <w:rPr>
          <w:b w:val="0"/>
          <w:i w:val="0"/>
        </w:rPr>
        <w:t xml:space="preserve"> reads </w:t>
      </w:r>
      <w:r>
        <w:rPr>
          <w:rFonts w:ascii="DejaVu Sans Mono" w:hAnsi="DejaVu Sans Mono"/>
          <w:b w:val="0"/>
          <w:i w:val="0"/>
          <w:sz w:val="17"/>
        </w:rPr>
        <w:t>value_​carbon_​factors.sqlite</w:t>
      </w:r>
      <w:r>
        <w:rPr>
          <w:b w:val="0"/>
          <w:i w:val="0"/>
        </w:rPr>
        <w:t xml:space="preserve">. </w:t>
      </w:r>
      <w:r>
        <w:rPr>
          <w:rFonts w:ascii="DejaVu Sans Mono" w:hAnsi="DejaVu Sans Mono"/>
          <w:b w:val="0"/>
          <w:i w:val="0"/>
          <w:sz w:val="17"/>
        </w:rPr>
        <w:t>build_​operational_​carbon_​ledger</w:t>
      </w:r>
      <w:r>
        <w:rPr>
          <w:b w:val="0"/>
          <w:i w:val="0"/>
        </w:rPr>
        <w:t xml:space="preserve"> connects dispatched electricity and operating assets to the selected factor set, and </w:t>
      </w:r>
      <w:r>
        <w:rPr>
          <w:rFonts w:ascii="DejaVu Sans Mono" w:hAnsi="DejaVu Sans Mono"/>
          <w:b w:val="0"/>
          <w:i w:val="0"/>
          <w:sz w:val="17"/>
        </w:rPr>
        <w:t>_asset_embodied_lines</w:t>
      </w:r>
      <w:r>
        <w:rPr>
          <w:b w:val="0"/>
          <w:i w:val="0"/>
        </w:rPr>
        <w:t xml:space="preserve"> calculates annualised equipment-construction emissions.</w:t>
      </w:r>
    </w:p>
    <w:sectPr w:rsidR="00FC693F" w:rsidRPr="0006063C" w:rsidSect="00034616">
      <w:headerReference w:type="default" r:id="rId9"/>
      <w:footerReference w:type="default" r:id="rId10"/>
      <w:pgSz w:w="11909" w:h="16834"/>
      <w:pgMar w:top="979" w:right="965" w:bottom="936" w:left="965"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Edition 0.5   12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VALUE Model Methodology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95" w:lineRule="auto" w:after="120"/>
    </w:pPr>
    <w:rPr>
      <w:rFonts w:ascii="Liberation Serif" w:hAnsi="Liberation Serif" w:eastAsia="Noto Serif CJK SC"/>
      <w:color w:val="000000"/>
      <w:sz w:val="23"/>
      <w:lang w:val="en-GB"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Liberation Serif" w:hAnsi="Liberation Serif" w:eastAsia="Noto Serif CJK SC"/>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eastAsia="Noto Serif CJK SC"/>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asciiTheme="majorHAnsi" w:eastAsiaTheme="majorEastAsia" w:hAnsiTheme="majorHAnsi" w:cstheme="majorBidi" w:ascii="Liberation Serif" w:hAnsi="Liberation Serif" w:eastAsia="Noto Serif CJK SC"/>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60" w:after="140"/>
      <w:outlineLvl w:val="3"/>
    </w:pPr>
    <w:rPr>
      <w:rFonts w:asciiTheme="majorHAnsi" w:eastAsiaTheme="majorEastAsia" w:hAnsiTheme="majorHAnsi" w:cstheme="majorBidi" w:ascii="Liberation Serif" w:hAnsi="Liberation Serif" w:eastAsia="Noto Serif CJK SC"/>
      <w:b/>
      <w:bCs/>
      <w:i/>
      <w:iCs/>
      <w:color w:val="000000"/>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Liberation Serif" w:hAnsi="Liberation Serif" w:eastAsia="Noto Serif CJK SC"/>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60" w:after="140"/>
    </w:pPr>
    <w:rPr>
      <w:rFonts w:asciiTheme="majorHAnsi" w:eastAsiaTheme="majorEastAsia" w:hAnsiTheme="majorHAnsi" w:cstheme="majorBidi" w:ascii="Liberation Serif" w:hAnsi="Liberation Serif" w:eastAsia="Noto Serif CJK SC"/>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Liberation Serif" w:hAnsi="Liberation Serif" w:eastAsia="Noto Serif CJK SC"/>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VALUE Model Methodology</dc:title>
  <dc:subject>Mathematical formulation  Algorithms  Input data</dc:subject>
  <dc:creator>VALUE</dc:creator>
  <cp:keywords/>
  <dc:description>generated by python-docx</dc:description>
  <cp:lastModifiedBy/>
  <cp:revision>1</cp:revision>
  <dcterms:created xsi:type="dcterms:W3CDTF">2013-12-23T23:15:00Z</dcterms:created>
  <dcterms:modified xsi:type="dcterms:W3CDTF">2013-12-23T23:15:00Z</dcterms:modified>
  <cp:category/>
</cp:coreProperties>
</file>