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VALUE 模型方法学</w:t>
      </w:r>
    </w:p>
    <w:p>
      <w:pPr>
        <w:pStyle w:val="Subtitle"/>
      </w:pPr>
      <w:r>
        <w:t>数学设定  计算方法  输入数据</w:t>
      </w:r>
    </w:p>
    <w:p>
      <w:r>
        <w:t>修订版 0.5   2026年10月12日</w:t>
        <w:br/>
        <w:t>VALUE 0.7.0-alpha.1 · 模型实现与数据依据 2026年10月9日</w:t>
      </w:r>
    </w:p>
    <w:p>
      <w:pPr>
        <w:pStyle w:val="Heading2"/>
      </w:pPr>
      <w:r>
        <w:t>目录</w:t>
      </w:r>
    </w:p>
    <w:p>
      <w:r>
        <w:t>1 模型框架</w:t>
      </w:r>
    </w:p>
    <w:p>
      <w:r>
        <w:t>2 初始数据与输入处理</w:t>
      </w:r>
    </w:p>
    <w:p>
      <w:r>
        <w:t>3 天气与可用出力</w:t>
      </w:r>
    </w:p>
    <w:p>
      <w:r>
        <w:t>4 运行与储能</w:t>
      </w:r>
    </w:p>
    <w:p>
      <w:r>
        <w:t>5 全国市场出清</w:t>
      </w:r>
    </w:p>
    <w:p>
      <w:r>
        <w:t>6 年度核算与投资</w:t>
      </w:r>
    </w:p>
    <w:p>
      <w:r>
        <w:t>7 传输与网络约束</w:t>
      </w:r>
    </w:p>
    <w:p>
      <w:r>
        <w:t>8 完全预见调度与天然水文</w:t>
      </w:r>
    </w:p>
    <w:p>
      <w:r>
        <w:t>9 碳排放核算参数</w:t>
      </w:r>
    </w:p>
    <w:p>
      <w:r>
        <w:br w:type="page"/>
      </w:r>
    </w:p>
    <w:p>
      <w:pPr>
        <w:pStyle w:val="Heading1"/>
      </w:pPr>
      <w:r>
        <w:rPr>
          <w:b w:val="0"/>
          <w:i w:val="0"/>
        </w:rPr>
        <w:t>1 模型框架</w:t>
      </w:r>
    </w:p>
    <w:p>
      <w:r>
        <w:rPr>
          <w:b w:val="0"/>
          <w:i w:val="0"/>
        </w:rPr>
        <w:t>VALUE 模拟电力系统的半小时运行及其年度资产变化。发电、储能和进口电力按报价参与市场出清；各资产的年度收入、运行成本和扩容空间决定投资与退役提案；项目按建设周期和地区成功率进入后续年份的在役资产。结果包括发电量、储能充放电、供电缺口、价格、系统成本、碳排放及各技术的在役容量。</w:t>
      </w:r>
    </w:p>
    <w:p>
      <w:pPr>
        <w:pStyle w:val="Heading2"/>
      </w:pPr>
      <w:r>
        <w:rPr>
          <w:b w:val="0"/>
          <w:i w:val="0"/>
        </w:rPr>
        <w:t>时间、单位与空间</w:t>
      </w:r>
    </w:p>
    <w:p>
      <w:r>
        <w:rPr>
          <w:b w:val="0"/>
          <w:i w:val="0"/>
        </w:rPr>
        <w:t>模型以 UTC 半小时为运行步长，每年固定为 365 天、17,520 期，2 月取 28 天。功率以 MW 表示，每期电量以 MWh 表示；在 0.5 小时内，1 MW 对应 0.5 MWh。完整运行年的结果进入年度投资计算，项目投运和退役在年与年之间更新。</w:t>
      </w:r>
    </w:p>
    <w:p>
      <w:r>
        <w:rPr>
          <w:b w:val="0"/>
          <w:i w:val="0"/>
        </w:rPr>
        <w:t>全国单节点模型将大不列颠的需求与供给汇总出清，互联线以外部电力报价参与交易。分区模型按资源位置和需求份额形成各区电力平衡，并施加区间线路与边界约束。第 7 章给出 23 区输入、资源落点、网络约束和数值求解过程。</w:t>
      </w:r>
    </w:p>
    <w:p>
      <w:r>
        <w:rPr>
          <w:b w:val="0"/>
          <w:i w:val="0"/>
        </w:rPr>
        <w:t>金额采用起始年不变币值的情景设定，默认起始年为 2025 年。输入表保留技术成本、进口电价和政策参数各自的价格年份。第 2 章列出输入及换算方式，第 5 章列出以 2025 年英镑表示的机组重启成本。</w:t>
      </w:r>
    </w:p>
    <w:p>
      <w:pPr>
        <w:pStyle w:val="Heading2"/>
      </w:pPr>
      <w:r>
        <w:rPr>
          <w:b w:val="0"/>
          <w:i w:val="0"/>
        </w:rPr>
        <w:t>运行方法</w:t>
      </w:r>
    </w:p>
    <w:p>
      <w:r>
        <w:rPr>
          <w:b w:val="0"/>
          <w:i w:val="0"/>
        </w:rPr>
        <w:t xml:space="preserve">默认全国运行使用 </w:t>
      </w:r>
      <w:r>
        <w:rPr>
          <w:rFonts w:ascii="DejaVu Sans Mono" w:hAnsi="DejaVu Sans Mono"/>
          <w:b w:val="0"/>
          <w:i w:val="0"/>
          <w:sz w:val="17"/>
        </w:rPr>
        <w:t>value-corrected</w:t>
      </w:r>
      <w:r>
        <w:rPr>
          <w:b w:val="0"/>
          <w:i w:val="0"/>
        </w:rPr>
        <w:t xml:space="preserve"> 配置和 </w:t>
      </w:r>
      <w:r>
        <w:rPr>
          <w:rFonts w:ascii="DejaVu Sans Mono" w:hAnsi="DejaVu Sans Mono"/>
          <w:b w:val="0"/>
          <w:i w:val="0"/>
          <w:sz w:val="17"/>
        </w:rPr>
        <w:t>value-bid-at-cost-psm</w:t>
      </w:r>
      <w:r>
        <w:rPr>
          <w:b w:val="0"/>
          <w:i w:val="0"/>
        </w:rPr>
        <w:t xml:space="preserve"> 模块，该模块的 Native 内核采用 </w:t>
      </w:r>
      <w:r>
        <w:rPr>
          <w:rFonts w:ascii="DejaVu Sans Mono" w:hAnsi="DejaVu Sans Mono"/>
          <w:b w:val="0"/>
          <w:i w:val="0"/>
          <w:sz w:val="17"/>
        </w:rPr>
        <w:t>native-corrected-v1</w:t>
      </w:r>
      <w:r>
        <w:rPr>
          <w:b w:val="0"/>
          <w:i w:val="0"/>
        </w:rPr>
        <w:t xml:space="preserve"> 的报价排序、统一边际结算、储能充放电和火电下调规则。每期先根据预测需求和可用出力形成计划，再根据当期需求、可用出力及剩余调节能力执行平衡。第 5 章按这一顺序描述完整算法。</w:t>
      </w:r>
    </w:p>
    <w:p>
      <w:r>
        <w:rPr>
          <w:rFonts w:ascii="DejaVu Sans Mono" w:hAnsi="DejaVu Sans Mono"/>
          <w:b w:val="0"/>
          <w:i w:val="0"/>
          <w:sz w:val="17"/>
        </w:rPr>
        <w:t>value-staged-bid-at-cost-psm</w:t>
      </w:r>
      <w:r>
        <w:rPr>
          <w:b w:val="0"/>
          <w:i w:val="0"/>
        </w:rPr>
        <w:t xml:space="preserve"> 将全国计划传递给独立的平衡模块。</w:t>
      </w:r>
      <w:r>
        <w:rPr>
          <w:rFonts w:ascii="DejaVu Sans Mono" w:hAnsi="DejaVu Sans Mono"/>
          <w:b w:val="0"/>
          <w:i w:val="0"/>
          <w:sz w:val="17"/>
        </w:rPr>
        <w:t>value-copperplate-balancing</w:t>
      </w:r>
      <w:r>
        <w:rPr>
          <w:b w:val="0"/>
          <w:i w:val="0"/>
        </w:rPr>
        <w:t xml:space="preserve"> 求单节点平衡，</w:t>
      </w:r>
      <w:r>
        <w:rPr>
          <w:rFonts w:ascii="DejaVu Sans Mono" w:hAnsi="DejaVu Sans Mono"/>
          <w:b w:val="0"/>
          <w:i w:val="0"/>
          <w:sz w:val="17"/>
        </w:rPr>
        <w:t>value-zonal-redispatch-balancing</w:t>
      </w:r>
      <w:r>
        <w:rPr>
          <w:b w:val="0"/>
          <w:i w:val="0"/>
        </w:rPr>
        <w:t xml:space="preserve"> 求网络约束下的分区再调度。第 4 章说明计划、平衡和储能状态的连接，第 7 章说明分区再调度的目标函数、约束及结算。</w:t>
      </w:r>
    </w:p>
    <w:p>
      <w:r>
        <w:rPr>
          <w:b w:val="0"/>
          <w:i w:val="0"/>
        </w:rPr>
        <w:t>完全预见调度在给定求解时窗内同时使用全部需求与可用出力序列，并联合优化发电、进口和储能。</w:t>
      </w:r>
      <w:r>
        <w:rPr>
          <w:rFonts w:ascii="DejaVu Sans Mono" w:hAnsi="DejaVu Sans Mono"/>
          <w:b w:val="0"/>
          <w:i w:val="0"/>
          <w:sz w:val="17"/>
        </w:rPr>
        <w:t>value-perfect-foresight-lp</w:t>
      </w:r>
      <w:r>
        <w:rPr>
          <w:b w:val="0"/>
          <w:i w:val="0"/>
        </w:rPr>
        <w:t xml:space="preserve"> 的目标、时序约束及储能终值见第 8 章。该章同时给出径流和水库从天然入流到可用水电的计算。</w:t>
      </w:r>
    </w:p>
    <w:p>
      <w:pPr>
        <w:pStyle w:val="Heading2"/>
      </w:pPr>
      <w:r>
        <w:rPr>
          <w:b w:val="0"/>
          <w:i w:val="0"/>
        </w:rPr>
        <w:t>初始条件与年度顺序</w:t>
      </w:r>
    </w:p>
    <w:p>
      <w:r>
        <w:rPr>
          <w:b w:val="0"/>
          <w:i w:val="0"/>
        </w:rPr>
        <w:t>一次计算由输入数据包、起止年份、所选模块和数值参数共同确定。</w:t>
      </w:r>
      <w:r>
        <w:rPr>
          <w:rFonts w:ascii="DejaVu Sans Mono" w:hAnsi="DejaVu Sans Mono"/>
          <w:b w:val="0"/>
          <w:i w:val="0"/>
          <w:sz w:val="17"/>
        </w:rPr>
        <w:t>native_initial_state</w:t>
      </w:r>
      <w:r>
        <w:rPr>
          <w:b w:val="0"/>
          <w:i w:val="0"/>
        </w:rPr>
        <w:t xml:space="preserve"> 根据机组表、REPD 项目、成本表、建设周期和地区成功率构造 </w:t>
      </w:r>
      <w:r>
        <w:rPr>
          <w:rFonts w:ascii="DejaVu Sans Mono" w:hAnsi="DejaVu Sans Mono"/>
          <w:b w:val="0"/>
          <w:i w:val="0"/>
          <w:sz w:val="17"/>
        </w:rPr>
        <w:t>initial_state</w:t>
      </w:r>
      <w:r>
        <w:rPr>
          <w:b w:val="0"/>
          <w:i w:val="0"/>
        </w:rPr>
        <w:t>。在役资产带有技术、地区、功率容量、储能能量容量、成本与寿命；规划项目带有容量、状态和预计投运年。第 2 章给出输入字段、取值和初始化规则。</w:t>
      </w:r>
    </w:p>
    <w:p>
      <w:r>
        <w:rPr>
          <w:b w:val="0"/>
          <w:i w:val="0"/>
        </w:rPr>
        <w:t>模型每年先推进规划项目，再运行全年市场，最后形成下一年的资产与项目状态。</w:t>
      </w:r>
      <w:r>
        <w:rPr>
          <w:rFonts w:ascii="DejaVu Sans Mono" w:hAnsi="DejaVu Sans Mono"/>
          <w:b w:val="0"/>
          <w:i w:val="0"/>
          <w:sz w:val="17"/>
        </w:rPr>
        <w:t>AnnualModelOrchestratorV2.run</w:t>
      </w:r>
      <w:r>
        <w:rPr>
          <w:b w:val="0"/>
          <w:i w:val="0"/>
        </w:rPr>
        <w:t xml:space="preserve"> 按下表顺序调用各模块；各项计算的公式、初始值与边界条件在相应章节展开。</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54"/>
        <w:gridCol w:w="3047"/>
        <w:gridCol w:w="3557"/>
        <w:gridCol w:w="1734"/>
      </w:tblGrid>
      <w:tr>
        <w:trPr>
          <w:cantSplit/>
          <w:tblHeader w:val="true"/>
        </w:trPr>
        <w:tc>
          <w:tcPr>
            <w:tcW w:type="dxa" w:w="1454"/>
            <w:vAlign w:val="center"/>
            <w:tcMar>
              <w:top w:w="90" w:type="dxa"/>
              <w:left w:w="90" w:type="dxa"/>
              <w:bottom w:w="90" w:type="dxa"/>
              <w:right w:w="90" w:type="dxa"/>
            </w:tcMar>
            <w:shd w:fill="EEEEEE"/>
          </w:tcPr>
          <w:p>
            <w:pPr>
              <w:spacing w:after="40" w:line="276" w:lineRule="auto"/>
            </w:pPr>
            <w:r>
              <w:rPr>
                <w:b/>
                <w:i w:val="0"/>
                <w:sz w:val="18"/>
              </w:rPr>
              <w:t>顺序</w:t>
            </w:r>
          </w:p>
        </w:tc>
        <w:tc>
          <w:tcPr>
            <w:tcW w:type="dxa" w:w="3047"/>
            <w:vAlign w:val="center"/>
            <w:tcMar>
              <w:top w:w="90" w:type="dxa"/>
              <w:left w:w="90" w:type="dxa"/>
              <w:bottom w:w="90" w:type="dxa"/>
              <w:right w:w="90" w:type="dxa"/>
            </w:tcMar>
            <w:shd w:fill="EEEEEE"/>
          </w:tcPr>
          <w:p>
            <w:pPr>
              <w:spacing w:after="40" w:line="276" w:lineRule="auto"/>
            </w:pPr>
            <w:r>
              <w:rPr>
                <w:b/>
                <w:i w:val="0"/>
                <w:sz w:val="18"/>
              </w:rPr>
              <w:t>计算内容</w:t>
            </w:r>
          </w:p>
        </w:tc>
        <w:tc>
          <w:tcPr>
            <w:tcW w:type="dxa" w:w="3557"/>
            <w:vAlign w:val="center"/>
            <w:tcMar>
              <w:top w:w="90" w:type="dxa"/>
              <w:left w:w="90" w:type="dxa"/>
              <w:bottom w:w="90" w:type="dxa"/>
              <w:right w:w="90" w:type="dxa"/>
            </w:tcMar>
            <w:shd w:fill="EEEEEE"/>
          </w:tcPr>
          <w:p>
            <w:pPr>
              <w:spacing w:after="40" w:line="276" w:lineRule="auto"/>
            </w:pPr>
            <w:r>
              <w:rPr>
                <w:b/>
                <w:i w:val="0"/>
                <w:sz w:val="18"/>
              </w:rPr>
              <w:t>变量与函数</w:t>
            </w:r>
          </w:p>
        </w:tc>
        <w:tc>
          <w:tcPr>
            <w:tcW w:type="dxa" w:w="1734"/>
            <w:vAlign w:val="center"/>
            <w:tcMar>
              <w:top w:w="90" w:type="dxa"/>
              <w:left w:w="90" w:type="dxa"/>
              <w:bottom w:w="90" w:type="dxa"/>
              <w:right w:w="90" w:type="dxa"/>
            </w:tcMar>
            <w:shd w:fill="EEEEEE"/>
          </w:tcPr>
          <w:p>
            <w:pPr>
              <w:spacing w:after="40" w:line="276" w:lineRule="auto"/>
            </w:pPr>
            <w:r>
              <w:rPr>
                <w:b/>
                <w:i w:val="0"/>
                <w:sz w:val="18"/>
              </w:rPr>
              <w:t>章节</w:t>
            </w:r>
          </w:p>
        </w:tc>
      </w:tr>
      <w:tr>
        <w:trPr>
          <w:cantSplit/>
        </w:trPr>
        <w:tc>
          <w:tcPr>
            <w:tcW w:type="dxa" w:w="1454"/>
            <w:vAlign w:val="center"/>
            <w:tcMar>
              <w:top w:w="90" w:type="dxa"/>
              <w:left w:w="90" w:type="dxa"/>
              <w:bottom w:w="90" w:type="dxa"/>
              <w:right w:w="90" w:type="dxa"/>
            </w:tcMar>
          </w:tcPr>
          <w:p>
            <w:pPr>
              <w:spacing w:after="40" w:line="276" w:lineRule="auto"/>
            </w:pPr>
            <w:r>
              <w:rPr>
                <w:b w:val="0"/>
                <w:i w:val="0"/>
                <w:sz w:val="18"/>
              </w:rPr>
              <w:t>1</w:t>
            </w:r>
          </w:p>
        </w:tc>
        <w:tc>
          <w:tcPr>
            <w:tcW w:type="dxa" w:w="3047"/>
            <w:vAlign w:val="center"/>
            <w:tcMar>
              <w:top w:w="90" w:type="dxa"/>
              <w:left w:w="90" w:type="dxa"/>
              <w:bottom w:w="90" w:type="dxa"/>
              <w:right w:w="90" w:type="dxa"/>
            </w:tcMar>
          </w:tcPr>
          <w:p>
            <w:pPr>
              <w:spacing w:after="40" w:line="276" w:lineRule="auto"/>
            </w:pPr>
            <w:r>
              <w:rPr>
                <w:b w:val="0"/>
                <w:i w:val="0"/>
                <w:sz w:val="18"/>
              </w:rPr>
              <w:t>按项目投运年更新当年在役资产</w:t>
            </w:r>
          </w:p>
        </w:tc>
        <w:tc>
          <w:tcPr>
            <w:tcW w:type="dxa" w:w="3557"/>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planning.advance_year</w:t>
            </w:r>
            <w:r>
              <w:rPr>
                <w:b w:val="0"/>
                <w:i w:val="0"/>
                <w:sz w:val="18"/>
              </w:rPr>
              <w:t xml:space="preserve"> 生成 </w:t>
            </w:r>
            <w:r>
              <w:rPr>
                <w:rFonts w:ascii="DejaVu Sans Mono" w:hAnsi="DejaVu Sans Mono"/>
                <w:b w:val="0"/>
                <w:i w:val="0"/>
                <w:sz w:val="18"/>
              </w:rPr>
              <w:t>advanced.operating_​state</w:t>
            </w:r>
          </w:p>
        </w:tc>
        <w:tc>
          <w:tcPr>
            <w:tcW w:type="dxa" w:w="1734"/>
            <w:vAlign w:val="center"/>
            <w:tcMar>
              <w:top w:w="90" w:type="dxa"/>
              <w:left w:w="90" w:type="dxa"/>
              <w:bottom w:w="90" w:type="dxa"/>
              <w:right w:w="90" w:type="dxa"/>
            </w:tcMar>
          </w:tcPr>
          <w:p>
            <w:pPr>
              <w:spacing w:after="40" w:line="276" w:lineRule="auto"/>
            </w:pPr>
            <w:r>
              <w:rPr>
                <w:b w:val="0"/>
                <w:i w:val="0"/>
                <w:sz w:val="18"/>
              </w:rPr>
              <w:t>6</w:t>
            </w:r>
          </w:p>
        </w:tc>
      </w:tr>
      <w:tr>
        <w:trPr>
          <w:cantSplit/>
        </w:trPr>
        <w:tc>
          <w:tcPr>
            <w:tcW w:type="dxa" w:w="1454"/>
            <w:vAlign w:val="center"/>
            <w:tcMar>
              <w:top w:w="90" w:type="dxa"/>
              <w:left w:w="90" w:type="dxa"/>
              <w:bottom w:w="90" w:type="dxa"/>
              <w:right w:w="90" w:type="dxa"/>
            </w:tcMar>
          </w:tcPr>
          <w:p>
            <w:pPr>
              <w:spacing w:after="40" w:line="276" w:lineRule="auto"/>
            </w:pPr>
            <w:r>
              <w:rPr>
                <w:b w:val="0"/>
                <w:i w:val="0"/>
                <w:sz w:val="18"/>
              </w:rPr>
              <w:t>2</w:t>
            </w:r>
          </w:p>
        </w:tc>
        <w:tc>
          <w:tcPr>
            <w:tcW w:type="dxa" w:w="3047"/>
            <w:vAlign w:val="center"/>
            <w:tcMar>
              <w:top w:w="90" w:type="dxa"/>
              <w:left w:w="90" w:type="dxa"/>
              <w:bottom w:w="90" w:type="dxa"/>
              <w:right w:w="90" w:type="dxa"/>
            </w:tcMar>
          </w:tcPr>
          <w:p>
            <w:pPr>
              <w:spacing w:after="40" w:line="276" w:lineRule="auto"/>
            </w:pPr>
            <w:r>
              <w:rPr>
                <w:b w:val="0"/>
                <w:i w:val="0"/>
                <w:sz w:val="18"/>
              </w:rPr>
              <w:t>整理需求、天气、可用出力和外部交换</w:t>
            </w:r>
          </w:p>
        </w:tc>
        <w:tc>
          <w:tcPr>
            <w:tcW w:type="dxa" w:w="3557"/>
            <w:vAlign w:val="center"/>
            <w:tcMar>
              <w:top w:w="90" w:type="dxa"/>
              <w:left w:w="90" w:type="dxa"/>
              <w:bottom w:w="90" w:type="dxa"/>
              <w:right w:w="90" w:type="dxa"/>
            </w:tcMar>
          </w:tcPr>
          <w:p>
            <w:pPr>
              <w:spacing w:after="40" w:line="276" w:lineRule="auto"/>
            </w:pPr>
            <w:r>
              <w:rPr>
                <w:rFonts w:ascii="DejaVu Sans Mono" w:hAnsi="DejaVu Sans Mono"/>
                <w:b w:val="0"/>
                <w:i w:val="0"/>
                <w:sz w:val="18"/>
              </w:rPr>
              <w:t>psm_input_factory</w:t>
            </w:r>
            <w:r>
              <w:rPr>
                <w:b w:val="0"/>
                <w:i w:val="0"/>
                <w:sz w:val="18"/>
              </w:rPr>
              <w:t xml:space="preserve"> 生成 </w:t>
            </w:r>
            <w:r>
              <w:rPr>
                <w:rFonts w:ascii="DejaVu Sans Mono" w:hAnsi="DejaVu Sans Mono"/>
                <w:b w:val="0"/>
                <w:i w:val="0"/>
                <w:sz w:val="18"/>
              </w:rPr>
              <w:t>model_input</w:t>
            </w:r>
          </w:p>
        </w:tc>
        <w:tc>
          <w:tcPr>
            <w:tcW w:type="dxa" w:w="1734"/>
            <w:vAlign w:val="center"/>
            <w:tcMar>
              <w:top w:w="90" w:type="dxa"/>
              <w:left w:w="90" w:type="dxa"/>
              <w:bottom w:w="90" w:type="dxa"/>
              <w:right w:w="90" w:type="dxa"/>
            </w:tcMar>
          </w:tcPr>
          <w:p>
            <w:pPr>
              <w:spacing w:after="40" w:line="276" w:lineRule="auto"/>
            </w:pPr>
            <w:r>
              <w:rPr>
                <w:b w:val="0"/>
                <w:i w:val="0"/>
                <w:sz w:val="18"/>
              </w:rPr>
              <w:t>2、3</w:t>
            </w:r>
          </w:p>
        </w:tc>
      </w:tr>
      <w:tr>
        <w:trPr>
          <w:cantSplit/>
        </w:trPr>
        <w:tc>
          <w:tcPr>
            <w:tcW w:type="dxa" w:w="1454"/>
            <w:vAlign w:val="center"/>
            <w:tcMar>
              <w:top w:w="90" w:type="dxa"/>
              <w:left w:w="90" w:type="dxa"/>
              <w:bottom w:w="90" w:type="dxa"/>
              <w:right w:w="90" w:type="dxa"/>
            </w:tcMar>
          </w:tcPr>
          <w:p>
            <w:pPr>
              <w:spacing w:after="40" w:line="276" w:lineRule="auto"/>
            </w:pPr>
            <w:r>
              <w:rPr>
                <w:b w:val="0"/>
                <w:i w:val="0"/>
                <w:sz w:val="18"/>
              </w:rPr>
              <w:t>3</w:t>
            </w:r>
          </w:p>
        </w:tc>
        <w:tc>
          <w:tcPr>
            <w:tcW w:type="dxa" w:w="3047"/>
            <w:vAlign w:val="center"/>
            <w:tcMar>
              <w:top w:w="90" w:type="dxa"/>
              <w:left w:w="90" w:type="dxa"/>
              <w:bottom w:w="90" w:type="dxa"/>
              <w:right w:w="90" w:type="dxa"/>
            </w:tcMar>
          </w:tcPr>
          <w:p>
            <w:pPr>
              <w:spacing w:after="40" w:line="276" w:lineRule="auto"/>
            </w:pPr>
            <w:r>
              <w:rPr>
                <w:b w:val="0"/>
                <w:i w:val="0"/>
                <w:sz w:val="18"/>
              </w:rPr>
              <w:t>逐期出清并汇总运行结果</w:t>
            </w:r>
          </w:p>
        </w:tc>
        <w:tc>
          <w:tcPr>
            <w:tcW w:type="dxa" w:w="3557"/>
            <w:vAlign w:val="center"/>
            <w:tcMar>
              <w:top w:w="90" w:type="dxa"/>
              <w:left w:w="90" w:type="dxa"/>
              <w:bottom w:w="90" w:type="dxa"/>
              <w:right w:w="90" w:type="dxa"/>
            </w:tcMar>
          </w:tcPr>
          <w:p>
            <w:pPr>
              <w:spacing w:after="40" w:line="276" w:lineRule="auto"/>
            </w:pPr>
            <w:r>
              <w:rPr>
                <w:rFonts w:ascii="DejaVu Sans Mono" w:hAnsi="DejaVu Sans Mono"/>
                <w:b w:val="0"/>
                <w:i w:val="0"/>
                <w:sz w:val="18"/>
              </w:rPr>
              <w:t>psm.run</w:t>
            </w:r>
            <w:r>
              <w:rPr>
                <w:b w:val="0"/>
                <w:i w:val="0"/>
                <w:sz w:val="18"/>
              </w:rPr>
              <w:t xml:space="preserve"> 生成 </w:t>
            </w:r>
            <w:r>
              <w:rPr>
                <w:rFonts w:ascii="DejaVu Sans Mono" w:hAnsi="DejaVu Sans Mono"/>
                <w:b w:val="0"/>
                <w:i w:val="0"/>
                <w:sz w:val="18"/>
              </w:rPr>
              <w:t>market</w:t>
            </w:r>
          </w:p>
        </w:tc>
        <w:tc>
          <w:tcPr>
            <w:tcW w:type="dxa" w:w="1734"/>
            <w:vAlign w:val="center"/>
            <w:tcMar>
              <w:top w:w="90" w:type="dxa"/>
              <w:left w:w="90" w:type="dxa"/>
              <w:bottom w:w="90" w:type="dxa"/>
              <w:right w:w="90" w:type="dxa"/>
            </w:tcMar>
          </w:tcPr>
          <w:p>
            <w:pPr>
              <w:spacing w:after="40" w:line="276" w:lineRule="auto"/>
            </w:pPr>
            <w:r>
              <w:rPr>
                <w:b w:val="0"/>
                <w:i w:val="0"/>
                <w:sz w:val="18"/>
              </w:rPr>
              <w:t>4、5、7、8</w:t>
            </w:r>
          </w:p>
        </w:tc>
      </w:tr>
      <w:tr>
        <w:trPr>
          <w:cantSplit/>
        </w:trPr>
        <w:tc>
          <w:tcPr>
            <w:tcW w:type="dxa" w:w="1454"/>
            <w:vAlign w:val="center"/>
            <w:tcMar>
              <w:top w:w="90" w:type="dxa"/>
              <w:left w:w="90" w:type="dxa"/>
              <w:bottom w:w="90" w:type="dxa"/>
              <w:right w:w="90" w:type="dxa"/>
            </w:tcMar>
          </w:tcPr>
          <w:p>
            <w:pPr>
              <w:spacing w:after="40" w:line="276" w:lineRule="auto"/>
            </w:pPr>
            <w:r>
              <w:rPr>
                <w:b w:val="0"/>
                <w:i w:val="0"/>
                <w:sz w:val="18"/>
              </w:rPr>
              <w:t>4</w:t>
            </w:r>
          </w:p>
        </w:tc>
        <w:tc>
          <w:tcPr>
            <w:tcW w:type="dxa" w:w="3047"/>
            <w:vAlign w:val="center"/>
            <w:tcMar>
              <w:top w:w="90" w:type="dxa"/>
              <w:left w:w="90" w:type="dxa"/>
              <w:bottom w:w="90" w:type="dxa"/>
              <w:right w:w="90" w:type="dxa"/>
            </w:tcMar>
          </w:tcPr>
          <w:p>
            <w:pPr>
              <w:spacing w:after="40" w:line="276" w:lineRule="auto"/>
            </w:pPr>
            <w:r>
              <w:rPr>
                <w:b w:val="0"/>
                <w:i w:val="0"/>
                <w:sz w:val="18"/>
              </w:rPr>
              <w:t>由当年需求、出力及储能使用量计算扩容空间</w:t>
            </w:r>
          </w:p>
        </w:tc>
        <w:tc>
          <w:tcPr>
            <w:tcW w:type="dxa" w:w="3557"/>
            <w:vAlign w:val="center"/>
            <w:tcMar>
              <w:top w:w="90" w:type="dxa"/>
              <w:left w:w="90" w:type="dxa"/>
              <w:bottom w:w="90" w:type="dxa"/>
              <w:right w:w="90" w:type="dxa"/>
            </w:tcMar>
          </w:tcPr>
          <w:p>
            <w:pPr>
              <w:spacing w:after="40" w:line="276" w:lineRule="auto"/>
            </w:pPr>
            <w:r>
              <w:rPr>
                <w:rFonts w:ascii="DejaVu Sans Mono" w:hAnsi="DejaVu Sans Mono"/>
                <w:b w:val="0"/>
                <w:i w:val="0"/>
                <w:sz w:val="18"/>
              </w:rPr>
              <w:t>policy.evaluate</w:t>
            </w:r>
            <w:r>
              <w:rPr>
                <w:b w:val="0"/>
                <w:i w:val="0"/>
                <w:sz w:val="18"/>
              </w:rPr>
              <w:t xml:space="preserve"> 生成 </w:t>
            </w:r>
            <w:r>
              <w:rPr>
                <w:rFonts w:ascii="DejaVu Sans Mono" w:hAnsi="DejaVu Sans Mono"/>
                <w:b w:val="0"/>
                <w:i w:val="0"/>
                <w:sz w:val="18"/>
              </w:rPr>
              <w:t>headroom</w:t>
            </w:r>
          </w:p>
        </w:tc>
        <w:tc>
          <w:tcPr>
            <w:tcW w:type="dxa" w:w="1734"/>
            <w:vAlign w:val="center"/>
            <w:tcMar>
              <w:top w:w="90" w:type="dxa"/>
              <w:left w:w="90" w:type="dxa"/>
              <w:bottom w:w="90" w:type="dxa"/>
              <w:right w:w="90" w:type="dxa"/>
            </w:tcMar>
          </w:tcPr>
          <w:p>
            <w:pPr>
              <w:spacing w:after="40" w:line="276" w:lineRule="auto"/>
            </w:pPr>
            <w:r>
              <w:rPr>
                <w:b w:val="0"/>
                <w:i w:val="0"/>
                <w:sz w:val="18"/>
              </w:rPr>
              <w:t>6</w:t>
            </w:r>
          </w:p>
        </w:tc>
      </w:tr>
      <w:tr>
        <w:trPr>
          <w:cantSplit/>
        </w:trPr>
        <w:tc>
          <w:tcPr>
            <w:tcW w:type="dxa" w:w="1454"/>
            <w:vAlign w:val="center"/>
            <w:tcMar>
              <w:top w:w="90" w:type="dxa"/>
              <w:left w:w="90" w:type="dxa"/>
              <w:bottom w:w="90" w:type="dxa"/>
              <w:right w:w="90" w:type="dxa"/>
            </w:tcMar>
          </w:tcPr>
          <w:p>
            <w:pPr>
              <w:spacing w:after="40" w:line="276" w:lineRule="auto"/>
            </w:pPr>
            <w:r>
              <w:rPr>
                <w:b w:val="0"/>
                <w:i w:val="0"/>
                <w:sz w:val="18"/>
              </w:rPr>
              <w:t>5</w:t>
            </w:r>
          </w:p>
        </w:tc>
        <w:tc>
          <w:tcPr>
            <w:tcW w:type="dxa" w:w="3047"/>
            <w:vAlign w:val="center"/>
            <w:tcMar>
              <w:top w:w="90" w:type="dxa"/>
              <w:left w:w="90" w:type="dxa"/>
              <w:bottom w:w="90" w:type="dxa"/>
              <w:right w:w="90" w:type="dxa"/>
            </w:tcMar>
          </w:tcPr>
          <w:p>
            <w:pPr>
              <w:spacing w:after="40" w:line="276" w:lineRule="auto"/>
            </w:pPr>
            <w:r>
              <w:rPr>
                <w:b w:val="0"/>
                <w:i w:val="0"/>
                <w:sz w:val="18"/>
              </w:rPr>
              <w:t>按投资主体与技术地区分组评价收益</w:t>
            </w:r>
          </w:p>
        </w:tc>
        <w:tc>
          <w:tcPr>
            <w:tcW w:type="dxa" w:w="3557"/>
            <w:vAlign w:val="center"/>
            <w:tcMar>
              <w:top w:w="90" w:type="dxa"/>
              <w:left w:w="90" w:type="dxa"/>
              <w:bottom w:w="90" w:type="dxa"/>
              <w:right w:w="90" w:type="dxa"/>
            </w:tcMar>
          </w:tcPr>
          <w:p>
            <w:pPr>
              <w:spacing w:after="40" w:line="276" w:lineRule="auto"/>
            </w:pPr>
            <w:r>
              <w:rPr>
                <w:rFonts w:ascii="DejaVu Sans Mono" w:hAnsi="DejaVu Sans Mono"/>
                <w:b w:val="0"/>
                <w:i w:val="0"/>
                <w:sz w:val="18"/>
              </w:rPr>
              <w:t>adapt_​market_​for_​investment</w:t>
            </w:r>
            <w:r>
              <w:rPr>
                <w:b w:val="0"/>
                <w:i w:val="0"/>
                <w:sz w:val="18"/>
              </w:rPr>
              <w:t xml:space="preserve"> 整理账户，</w:t>
            </w:r>
            <w:r>
              <w:rPr>
                <w:rFonts w:ascii="DejaVu Sans Mono" w:hAnsi="DejaVu Sans Mono"/>
                <w:b w:val="0"/>
                <w:i w:val="0"/>
                <w:sz w:val="18"/>
              </w:rPr>
              <w:t>investment.decide</w:t>
            </w:r>
            <w:r>
              <w:rPr>
                <w:b w:val="0"/>
                <w:i w:val="0"/>
                <w:sz w:val="18"/>
              </w:rPr>
              <w:t xml:space="preserve"> 生成 </w:t>
            </w:r>
            <w:r>
              <w:rPr>
                <w:rFonts w:ascii="DejaVu Sans Mono" w:hAnsi="DejaVu Sans Mono"/>
                <w:b w:val="0"/>
                <w:i w:val="0"/>
                <w:sz w:val="18"/>
              </w:rPr>
              <w:t>decision.proposals</w:t>
            </w:r>
          </w:p>
        </w:tc>
        <w:tc>
          <w:tcPr>
            <w:tcW w:type="dxa" w:w="1734"/>
            <w:vAlign w:val="center"/>
            <w:tcMar>
              <w:top w:w="90" w:type="dxa"/>
              <w:left w:w="90" w:type="dxa"/>
              <w:bottom w:w="90" w:type="dxa"/>
              <w:right w:w="90" w:type="dxa"/>
            </w:tcMar>
          </w:tcPr>
          <w:p>
            <w:pPr>
              <w:spacing w:after="40" w:line="276" w:lineRule="auto"/>
            </w:pPr>
            <w:r>
              <w:rPr>
                <w:b w:val="0"/>
                <w:i w:val="0"/>
                <w:sz w:val="18"/>
              </w:rPr>
              <w:t>6</w:t>
            </w:r>
          </w:p>
        </w:tc>
      </w:tr>
      <w:tr>
        <w:trPr>
          <w:cantSplit/>
        </w:trPr>
        <w:tc>
          <w:tcPr>
            <w:tcW w:type="dxa" w:w="1454"/>
            <w:vAlign w:val="center"/>
            <w:tcMar>
              <w:top w:w="90" w:type="dxa"/>
              <w:left w:w="90" w:type="dxa"/>
              <w:bottom w:w="90" w:type="dxa"/>
              <w:right w:w="90" w:type="dxa"/>
            </w:tcMar>
          </w:tcPr>
          <w:p>
            <w:pPr>
              <w:spacing w:after="40" w:line="276" w:lineRule="auto"/>
            </w:pPr>
            <w:r>
              <w:rPr>
                <w:b w:val="0"/>
                <w:i w:val="0"/>
                <w:sz w:val="18"/>
              </w:rPr>
              <w:t>6</w:t>
            </w:r>
          </w:p>
        </w:tc>
        <w:tc>
          <w:tcPr>
            <w:tcW w:type="dxa" w:w="3047"/>
            <w:vAlign w:val="center"/>
            <w:tcMar>
              <w:top w:w="90" w:type="dxa"/>
              <w:left w:w="90" w:type="dxa"/>
              <w:bottom w:w="90" w:type="dxa"/>
              <w:right w:w="90" w:type="dxa"/>
            </w:tcMar>
          </w:tcPr>
          <w:p>
            <w:pPr>
              <w:spacing w:after="40" w:line="276" w:lineRule="auto"/>
            </w:pPr>
            <w:r>
              <w:rPr>
                <w:b w:val="0"/>
                <w:i w:val="0"/>
                <w:sz w:val="18"/>
              </w:rPr>
              <w:t>按建设周期与成功率准入投资项目</w:t>
            </w:r>
          </w:p>
        </w:tc>
        <w:tc>
          <w:tcPr>
            <w:tcW w:type="dxa" w:w="3557"/>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planning.admit_projects</w:t>
            </w:r>
            <w:r>
              <w:rPr>
                <w:b w:val="0"/>
                <w:i w:val="0"/>
                <w:sz w:val="18"/>
              </w:rPr>
              <w:t xml:space="preserve"> 生成 </w:t>
            </w:r>
            <w:r>
              <w:rPr>
                <w:rFonts w:ascii="DejaVu Sans Mono" w:hAnsi="DejaVu Sans Mono"/>
                <w:b w:val="0"/>
                <w:i w:val="0"/>
                <w:sz w:val="18"/>
              </w:rPr>
              <w:t>admission</w:t>
            </w:r>
          </w:p>
        </w:tc>
        <w:tc>
          <w:tcPr>
            <w:tcW w:type="dxa" w:w="1734"/>
            <w:vAlign w:val="center"/>
            <w:tcMar>
              <w:top w:w="90" w:type="dxa"/>
              <w:left w:w="90" w:type="dxa"/>
              <w:bottom w:w="90" w:type="dxa"/>
              <w:right w:w="90" w:type="dxa"/>
            </w:tcMar>
          </w:tcPr>
          <w:p>
            <w:pPr>
              <w:spacing w:after="40" w:line="276" w:lineRule="auto"/>
            </w:pPr>
            <w:r>
              <w:rPr>
                <w:b w:val="0"/>
                <w:i w:val="0"/>
                <w:sz w:val="18"/>
              </w:rPr>
              <w:t>6</w:t>
            </w:r>
          </w:p>
        </w:tc>
      </w:tr>
      <w:tr>
        <w:trPr>
          <w:cantSplit/>
        </w:trPr>
        <w:tc>
          <w:tcPr>
            <w:tcW w:type="dxa" w:w="1454"/>
            <w:vAlign w:val="center"/>
            <w:tcMar>
              <w:top w:w="90" w:type="dxa"/>
              <w:left w:w="90" w:type="dxa"/>
              <w:bottom w:w="90" w:type="dxa"/>
              <w:right w:w="90" w:type="dxa"/>
            </w:tcMar>
          </w:tcPr>
          <w:p>
            <w:pPr>
              <w:spacing w:after="40" w:line="276" w:lineRule="auto"/>
            </w:pPr>
            <w:r>
              <w:rPr>
                <w:b w:val="0"/>
                <w:i w:val="0"/>
                <w:sz w:val="18"/>
              </w:rPr>
              <w:t>7</w:t>
            </w:r>
          </w:p>
        </w:tc>
        <w:tc>
          <w:tcPr>
            <w:tcW w:type="dxa" w:w="3047"/>
            <w:vAlign w:val="center"/>
            <w:tcMar>
              <w:top w:w="90" w:type="dxa"/>
              <w:left w:w="90" w:type="dxa"/>
              <w:bottom w:w="90" w:type="dxa"/>
              <w:right w:w="90" w:type="dxa"/>
            </w:tcMar>
          </w:tcPr>
          <w:p>
            <w:pPr>
              <w:spacing w:after="40" w:line="276" w:lineRule="auto"/>
            </w:pPr>
            <w:r>
              <w:rPr>
                <w:b w:val="0"/>
                <w:i w:val="0"/>
                <w:sz w:val="18"/>
              </w:rPr>
              <w:t>执行资产寿命、退役和新项目更新</w:t>
            </w:r>
          </w:p>
        </w:tc>
        <w:tc>
          <w:tcPr>
            <w:tcW w:type="dxa" w:w="3557"/>
            <w:vAlign w:val="center"/>
            <w:tcMar>
              <w:top w:w="90" w:type="dxa"/>
              <w:left w:w="90" w:type="dxa"/>
              <w:bottom w:w="90" w:type="dxa"/>
              <w:right w:w="90" w:type="dxa"/>
            </w:tcMar>
          </w:tcPr>
          <w:p>
            <w:pPr>
              <w:spacing w:after="40" w:line="276" w:lineRule="auto"/>
            </w:pPr>
            <w:r>
              <w:rPr>
                <w:rFonts w:ascii="DejaVu Sans Mono" w:hAnsi="DejaVu Sans Mono"/>
                <w:b w:val="0"/>
                <w:i w:val="0"/>
                <w:sz w:val="18"/>
              </w:rPr>
              <w:t>transition.apply</w:t>
            </w:r>
            <w:r>
              <w:rPr>
                <w:b w:val="0"/>
                <w:i w:val="0"/>
                <w:sz w:val="18"/>
              </w:rPr>
              <w:t xml:space="preserve"> 生成 </w:t>
            </w:r>
            <w:r>
              <w:rPr>
                <w:rFonts w:ascii="DejaVu Sans Mono" w:hAnsi="DejaVu Sans Mono"/>
                <w:b w:val="0"/>
                <w:i w:val="0"/>
                <w:sz w:val="18"/>
              </w:rPr>
              <w:t>next_state</w:t>
            </w:r>
          </w:p>
        </w:tc>
        <w:tc>
          <w:tcPr>
            <w:tcW w:type="dxa" w:w="1734"/>
            <w:vAlign w:val="center"/>
            <w:tcMar>
              <w:top w:w="90" w:type="dxa"/>
              <w:left w:w="90" w:type="dxa"/>
              <w:bottom w:w="90" w:type="dxa"/>
              <w:right w:w="90" w:type="dxa"/>
            </w:tcMar>
          </w:tcPr>
          <w:p>
            <w:pPr>
              <w:spacing w:after="40" w:line="276" w:lineRule="auto"/>
            </w:pPr>
            <w:r>
              <w:rPr>
                <w:b w:val="0"/>
                <w:i w:val="0"/>
                <w:sz w:val="18"/>
              </w:rPr>
              <w:t>6</w:t>
            </w:r>
          </w:p>
        </w:tc>
      </w:tr>
    </w:tbl>
    <w:p>
      <w:pPr>
        <w:spacing w:after="20"/>
      </w:pPr>
    </w:p>
    <w:p>
      <w:r>
        <w:rPr>
          <w:b w:val="0"/>
          <w:i w:val="0"/>
        </w:rPr>
        <w:t>储能的期内库存与年度成本观察值分别更新。全国运行在每个运行年创建储能对象；上一年售电量和储存时长用于下一年的动态储能成本。第 4、5 章给出库存初值、效率、自放电、逐期功率限制和年度处理。</w:t>
      </w:r>
    </w:p>
    <w:p>
      <w:r>
        <w:rPr>
          <w:b w:val="0"/>
          <w:i w:val="0"/>
        </w:rPr>
        <w:t>年度投资依据实际收入、总资本支出、目标回收期和偏好收益率作出决策。燃气和生物质的投资净收入扣除运行成本；风电、光伏和储能按其收入计算投资收益。第 6 章给出逐项成本、四级决策规则、建设时长、成功率和资产更新的伪代码。</w:t>
      </w:r>
    </w:p>
    <w:p>
      <w:r>
        <w:rPr>
          <w:b w:val="0"/>
          <w:i w:val="0"/>
        </w:rPr>
        <w:t>年度输出由逐期结果求和或按电量加权。供电量等于需求电量扣除未供电量，系统成本汇总运行与年化资本支出，碳排放按发电量、进口电量和设备容量核算。第 5、6、9 章分别定义这些量、单位和分母。</w:t>
      </w:r>
    </w:p>
    <w:p>
      <w:pPr>
        <w:pStyle w:val="Heading1"/>
      </w:pPr>
      <w:r>
        <w:rPr>
          <w:b w:val="0"/>
          <w:i w:val="0"/>
        </w:rPr>
        <w:t>2 初始数据与输入处理</w:t>
      </w:r>
    </w:p>
    <w:p>
      <w:r>
        <w:rPr>
          <w:b w:val="0"/>
          <w:i w:val="0"/>
        </w:rPr>
        <w:t xml:space="preserve">VALUE 用需求、天气、运行资产、规划项目、技术参数以及外部市场价格和交换上限构建电力系统研究。来源年份确定观测样本，研究起始年确定初始机组及后续投资日历。默认 </w:t>
      </w:r>
      <w:r>
        <w:rPr>
          <w:rFonts w:ascii="DejaVu Sans Mono" w:hAnsi="DejaVu Sans Mono"/>
          <w:b w:val="0"/>
          <w:i w:val="0"/>
          <w:sz w:val="17"/>
        </w:rPr>
        <w:t>value-corrected</w:t>
      </w:r>
      <w:r>
        <w:rPr>
          <w:b w:val="0"/>
          <w:i w:val="0"/>
        </w:rPr>
        <w:t xml:space="preserve"> 配置采用下列 public2 数据包，可从</w:t>
      </w:r>
      <w:r>
        <w:rPr>
          <w:b w:val="0"/>
          <w:i w:val="0"/>
        </w:rPr>
        <w:t>数据页</w:t>
      </w:r>
      <w:r>
        <w:rPr>
          <w:b w:val="0"/>
          <w:i w:val="0"/>
        </w:rPr>
        <w:t>取得。</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42"/>
        <w:gridCol w:w="3181"/>
        <w:gridCol w:w="3670"/>
      </w:tblGrid>
      <w:tr>
        <w:trPr>
          <w:cantSplit/>
          <w:tblHeader w:val="true"/>
        </w:trPr>
        <w:tc>
          <w:tcPr>
            <w:tcW w:type="dxa" w:w="2942"/>
            <w:vAlign w:val="center"/>
            <w:tcMar>
              <w:top w:w="90" w:type="dxa"/>
              <w:left w:w="90" w:type="dxa"/>
              <w:bottom w:w="90" w:type="dxa"/>
              <w:right w:w="90" w:type="dxa"/>
            </w:tcMar>
            <w:shd w:fill="EEEEEE"/>
          </w:tcPr>
          <w:p>
            <w:pPr>
              <w:spacing w:after="40" w:line="276" w:lineRule="auto"/>
            </w:pPr>
            <w:r>
              <w:rPr>
                <w:b/>
                <w:i w:val="0"/>
                <w:sz w:val="18"/>
              </w:rPr>
              <w:t>研究输入</w:t>
            </w:r>
          </w:p>
        </w:tc>
        <w:tc>
          <w:tcPr>
            <w:tcW w:type="dxa" w:w="3181"/>
            <w:vAlign w:val="center"/>
            <w:tcMar>
              <w:top w:w="90" w:type="dxa"/>
              <w:left w:w="90" w:type="dxa"/>
              <w:bottom w:w="90" w:type="dxa"/>
              <w:right w:w="90" w:type="dxa"/>
            </w:tcMar>
            <w:shd w:fill="EEEEEE"/>
          </w:tcPr>
          <w:p>
            <w:pPr>
              <w:spacing w:after="40" w:line="276" w:lineRule="auto"/>
            </w:pPr>
            <w:r>
              <w:rPr>
                <w:b/>
                <w:i w:val="0"/>
                <w:sz w:val="18"/>
              </w:rPr>
              <w:t>数据包</w:t>
            </w:r>
          </w:p>
        </w:tc>
        <w:tc>
          <w:tcPr>
            <w:tcW w:type="dxa" w:w="3670"/>
            <w:vAlign w:val="center"/>
            <w:tcMar>
              <w:top w:w="90" w:type="dxa"/>
              <w:left w:w="90" w:type="dxa"/>
              <w:bottom w:w="90" w:type="dxa"/>
              <w:right w:w="90" w:type="dxa"/>
            </w:tcMar>
            <w:shd w:fill="EEEEEE"/>
          </w:tcPr>
          <w:p>
            <w:pPr>
              <w:spacing w:after="40" w:line="276" w:lineRule="auto"/>
            </w:pPr>
            <w:r>
              <w:rPr>
                <w:b/>
                <w:i w:val="0"/>
                <w:sz w:val="18"/>
              </w:rPr>
              <w:t>内容</w:t>
            </w:r>
          </w:p>
        </w:tc>
      </w:tr>
      <w:tr>
        <w:trPr>
          <w:cantSplit/>
        </w:trPr>
        <w:tc>
          <w:tcPr>
            <w:tcW w:type="dxa" w:w="2942"/>
            <w:vAlign w:val="center"/>
            <w:tcMar>
              <w:top w:w="90" w:type="dxa"/>
              <w:left w:w="90" w:type="dxa"/>
              <w:bottom w:w="90" w:type="dxa"/>
              <w:right w:w="90" w:type="dxa"/>
            </w:tcMar>
          </w:tcPr>
          <w:p>
            <w:pPr>
              <w:spacing w:after="40" w:line="276" w:lineRule="auto"/>
            </w:pPr>
            <w:r>
              <w:rPr>
                <w:b w:val="0"/>
                <w:i w:val="0"/>
                <w:sz w:val="18"/>
              </w:rPr>
              <w:t>英国全国系统</w:t>
            </w:r>
          </w:p>
        </w:tc>
        <w:tc>
          <w:tcPr>
            <w:tcW w:type="dxa" w:w="3181"/>
            <w:vAlign w:val="center"/>
            <w:tcMar>
              <w:top w:w="90" w:type="dxa"/>
              <w:left w:w="90" w:type="dxa"/>
              <w:bottom w:w="90" w:type="dxa"/>
              <w:right w:w="90" w:type="dxa"/>
            </w:tcMar>
          </w:tcPr>
          <w:p>
            <w:pPr>
              <w:spacing w:after="40" w:line="276" w:lineRule="auto"/>
            </w:pPr>
            <w:r>
              <w:rPr>
                <w:rFonts w:ascii="DejaVu Sans Mono" w:hAnsi="DejaVu Sans Mono"/>
                <w:b w:val="0"/>
                <w:i w:val="0"/>
                <w:sz w:val="18"/>
              </w:rPr>
              <w:t>value-uk-open-data-pack-public2</w:t>
            </w:r>
          </w:p>
        </w:tc>
        <w:tc>
          <w:tcPr>
            <w:tcW w:type="dxa" w:w="3670"/>
            <w:vAlign w:val="center"/>
            <w:tcMar>
              <w:top w:w="90" w:type="dxa"/>
              <w:left w:w="90" w:type="dxa"/>
              <w:bottom w:w="90" w:type="dxa"/>
              <w:right w:w="90" w:type="dxa"/>
            </w:tcMar>
          </w:tcPr>
          <w:p>
            <w:pPr>
              <w:spacing w:after="40" w:line="276" w:lineRule="auto"/>
            </w:pPr>
            <w:r>
              <w:rPr>
                <w:b w:val="0"/>
                <w:i w:val="0"/>
                <w:sz w:val="18"/>
              </w:rPr>
              <w:t>需求、代表点天气、机组、规划、成本及五个外部市场</w:t>
            </w:r>
          </w:p>
        </w:tc>
      </w:tr>
      <w:tr>
        <w:trPr>
          <w:cantSplit/>
        </w:trPr>
        <w:tc>
          <w:tcPr>
            <w:tcW w:type="dxa" w:w="2942"/>
            <w:vAlign w:val="center"/>
            <w:tcMar>
              <w:top w:w="90" w:type="dxa"/>
              <w:left w:w="90" w:type="dxa"/>
              <w:bottom w:w="90" w:type="dxa"/>
              <w:right w:w="90" w:type="dxa"/>
            </w:tcMar>
          </w:tcPr>
          <w:p>
            <w:pPr>
              <w:spacing w:after="40" w:line="276" w:lineRule="auto"/>
            </w:pPr>
            <w:r>
              <w:rPr>
                <w:b w:val="0"/>
                <w:i w:val="0"/>
                <w:sz w:val="18"/>
              </w:rPr>
              <w:t>英国 2025–2034 年日历平均天气研究</w:t>
            </w:r>
          </w:p>
        </w:tc>
        <w:tc>
          <w:tcPr>
            <w:tcW w:type="dxa" w:w="3181"/>
            <w:vAlign w:val="center"/>
            <w:tcMar>
              <w:top w:w="90" w:type="dxa"/>
              <w:left w:w="90" w:type="dxa"/>
              <w:bottom w:w="90" w:type="dxa"/>
              <w:right w:w="90" w:type="dxa"/>
            </w:tcMar>
          </w:tcPr>
          <w:p>
            <w:pPr>
              <w:spacing w:after="40" w:line="276" w:lineRule="auto"/>
            </w:pPr>
            <w:r>
              <w:rPr>
                <w:rFonts w:ascii="DejaVu Sans Mono" w:hAnsi="DejaVu Sans Mono"/>
                <w:b w:val="0"/>
                <w:i w:val="0"/>
                <w:sz w:val="18"/>
              </w:rPr>
              <w:t>value-uk-calendar-vx-trade001-public2</w:t>
            </w:r>
          </w:p>
        </w:tc>
        <w:tc>
          <w:tcPr>
            <w:tcW w:type="dxa" w:w="3670"/>
            <w:vAlign w:val="center"/>
            <w:tcMar>
              <w:top w:w="90" w:type="dxa"/>
              <w:left w:w="90" w:type="dxa"/>
              <w:bottom w:w="90" w:type="dxa"/>
              <w:right w:w="90" w:type="dxa"/>
            </w:tcMar>
          </w:tcPr>
          <w:p>
            <w:pPr>
              <w:spacing w:after="40" w:line="276" w:lineRule="auto"/>
            </w:pPr>
            <w:r>
              <w:rPr>
                <w:b w:val="0"/>
                <w:i w:val="0"/>
                <w:sz w:val="18"/>
              </w:rPr>
              <w:t>R029 配置，采用 2022 年需求与 2020–2024 年天气</w:t>
            </w:r>
          </w:p>
        </w:tc>
      </w:tr>
      <w:tr>
        <w:trPr>
          <w:cantSplit/>
        </w:trPr>
        <w:tc>
          <w:tcPr>
            <w:tcW w:type="dxa" w:w="2942"/>
            <w:vAlign w:val="center"/>
            <w:tcMar>
              <w:top w:w="90" w:type="dxa"/>
              <w:left w:w="90" w:type="dxa"/>
              <w:bottom w:w="90" w:type="dxa"/>
              <w:right w:w="90" w:type="dxa"/>
            </w:tcMar>
          </w:tcPr>
          <w:p>
            <w:pPr>
              <w:spacing w:after="40" w:line="276" w:lineRule="auto"/>
            </w:pPr>
            <w:r>
              <w:rPr>
                <w:b w:val="0"/>
                <w:i w:val="0"/>
                <w:sz w:val="18"/>
              </w:rPr>
              <w:t>英国 23 区系统</w:t>
            </w:r>
          </w:p>
        </w:tc>
        <w:tc>
          <w:tcPr>
            <w:tcW w:type="dxa" w:w="3181"/>
            <w:vAlign w:val="center"/>
            <w:tcMar>
              <w:top w:w="90" w:type="dxa"/>
              <w:left w:w="90" w:type="dxa"/>
              <w:bottom w:w="90" w:type="dxa"/>
              <w:right w:w="90" w:type="dxa"/>
            </w:tcMar>
          </w:tcPr>
          <w:p>
            <w:pPr>
              <w:spacing w:after="40" w:line="276" w:lineRule="auto"/>
            </w:pPr>
            <w:r>
              <w:rPr>
                <w:rFonts w:ascii="DejaVu Sans Mono" w:hAnsi="DejaVu Sans Mono"/>
                <w:b w:val="0"/>
                <w:i w:val="0"/>
                <w:sz w:val="18"/>
              </w:rPr>
              <w:t>value-uk-research-suite-v1-public2</w:t>
            </w:r>
          </w:p>
        </w:tc>
        <w:tc>
          <w:tcPr>
            <w:tcW w:type="dxa" w:w="3670"/>
            <w:vAlign w:val="center"/>
            <w:tcMar>
              <w:top w:w="90" w:type="dxa"/>
              <w:left w:w="90" w:type="dxa"/>
              <w:bottom w:w="90" w:type="dxa"/>
              <w:right w:w="90" w:type="dxa"/>
            </w:tcMar>
          </w:tcPr>
          <w:p>
            <w:pPr>
              <w:spacing w:after="40" w:line="276" w:lineRule="auto"/>
            </w:pPr>
            <w:r>
              <w:rPr>
                <w:b w:val="0"/>
                <w:i w:val="0"/>
                <w:sz w:val="18"/>
              </w:rPr>
              <w:t>全国输入、分区需求、资产分配、走廊与外部边界</w:t>
            </w:r>
          </w:p>
        </w:tc>
      </w:tr>
      <w:tr>
        <w:trPr>
          <w:cantSplit/>
        </w:trPr>
        <w:tc>
          <w:tcPr>
            <w:tcW w:type="dxa" w:w="2942"/>
            <w:vAlign w:val="center"/>
            <w:tcMar>
              <w:top w:w="90" w:type="dxa"/>
              <w:left w:w="90" w:type="dxa"/>
              <w:bottom w:w="90" w:type="dxa"/>
              <w:right w:w="90" w:type="dxa"/>
            </w:tcMar>
          </w:tcPr>
          <w:p>
            <w:pPr>
              <w:spacing w:after="40" w:line="276" w:lineRule="auto"/>
            </w:pPr>
            <w:r>
              <w:rPr>
                <w:b w:val="0"/>
                <w:i w:val="0"/>
                <w:sz w:val="18"/>
              </w:rPr>
              <w:t>VALUE 101</w:t>
            </w:r>
          </w:p>
        </w:tc>
        <w:tc>
          <w:tcPr>
            <w:tcW w:type="dxa" w:w="3181"/>
            <w:vAlign w:val="center"/>
            <w:tcMar>
              <w:top w:w="90" w:type="dxa"/>
              <w:left w:w="90" w:type="dxa"/>
              <w:bottom w:w="90" w:type="dxa"/>
              <w:right w:w="90" w:type="dxa"/>
            </w:tcMar>
          </w:tcPr>
          <w:p>
            <w:pPr>
              <w:spacing w:after="40" w:line="276" w:lineRule="auto"/>
            </w:pPr>
            <w:r>
              <w:rPr>
                <w:b w:val="0"/>
                <w:i w:val="0"/>
                <w:sz w:val="18"/>
              </w:rPr>
              <w:t>合成教学输入</w:t>
            </w:r>
          </w:p>
        </w:tc>
        <w:tc>
          <w:tcPr>
            <w:tcW w:type="dxa" w:w="3670"/>
            <w:vAlign w:val="center"/>
            <w:tcMar>
              <w:top w:w="90" w:type="dxa"/>
              <w:left w:w="90" w:type="dxa"/>
              <w:bottom w:w="90" w:type="dxa"/>
              <w:right w:w="90" w:type="dxa"/>
            </w:tcMar>
          </w:tcPr>
          <w:p>
            <w:pPr>
              <w:spacing w:after="40" w:line="276" w:lineRule="auto"/>
            </w:pPr>
            <w:r>
              <w:rPr>
                <w:b w:val="0"/>
                <w:i w:val="0"/>
                <w:sz w:val="18"/>
              </w:rPr>
              <w:t>2025–2026 年研究，包含完整的 17,520 时段年和 48 时段练习；生成规则见下文</w:t>
            </w:r>
          </w:p>
        </w:tc>
      </w:tr>
    </w:tbl>
    <w:p>
      <w:pPr>
        <w:spacing w:after="20"/>
      </w:pPr>
    </w:p>
    <w:p>
      <w:r>
        <w:rPr>
          <w:b w:val="0"/>
          <w:i w:val="0"/>
        </w:rPr>
        <w:t xml:space="preserve">输入角色将文件与物理量相连接。数据包的 </w:t>
      </w:r>
      <w:r>
        <w:rPr>
          <w:rFonts w:ascii="DejaVu Sans Mono" w:hAnsi="DejaVu Sans Mono"/>
          <w:b w:val="0"/>
          <w:i w:val="0"/>
          <w:sz w:val="17"/>
        </w:rPr>
        <w:t>manifest.json</w:t>
      </w:r>
      <w:r>
        <w:rPr>
          <w:b w:val="0"/>
          <w:i w:val="0"/>
        </w:rPr>
        <w:t xml:space="preserve"> 为每个角色指定文件，并声明列名、单位及时间分辨率。下表列出 R029 文件和它们向计算提供的量。</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99"/>
        <w:gridCol w:w="4151"/>
        <w:gridCol w:w="3243"/>
      </w:tblGrid>
      <w:tr>
        <w:trPr>
          <w:cantSplit/>
          <w:tblHeader w:val="true"/>
        </w:trPr>
        <w:tc>
          <w:tcPr>
            <w:tcW w:type="dxa" w:w="2399"/>
            <w:vAlign w:val="center"/>
            <w:tcMar>
              <w:top w:w="90" w:type="dxa"/>
              <w:left w:w="90" w:type="dxa"/>
              <w:bottom w:w="90" w:type="dxa"/>
              <w:right w:w="90" w:type="dxa"/>
            </w:tcMar>
            <w:shd w:fill="EEEEEE"/>
          </w:tcPr>
          <w:p>
            <w:pPr>
              <w:spacing w:after="40" w:line="276" w:lineRule="auto"/>
            </w:pPr>
            <w:r>
              <w:rPr>
                <w:b/>
                <w:i w:val="0"/>
                <w:sz w:val="18"/>
              </w:rPr>
              <w:t>输入角色</w:t>
            </w:r>
          </w:p>
        </w:tc>
        <w:tc>
          <w:tcPr>
            <w:tcW w:type="dxa" w:w="4151"/>
            <w:vAlign w:val="center"/>
            <w:tcMar>
              <w:top w:w="90" w:type="dxa"/>
              <w:left w:w="90" w:type="dxa"/>
              <w:bottom w:w="90" w:type="dxa"/>
              <w:right w:w="90" w:type="dxa"/>
            </w:tcMar>
            <w:shd w:fill="EEEEEE"/>
          </w:tcPr>
          <w:p>
            <w:pPr>
              <w:spacing w:after="40" w:line="276" w:lineRule="auto"/>
            </w:pPr>
            <w:r>
              <w:rPr>
                <w:b/>
                <w:i w:val="0"/>
                <w:sz w:val="18"/>
              </w:rPr>
              <w:t>主要数据或字段</w:t>
            </w:r>
          </w:p>
        </w:tc>
        <w:tc>
          <w:tcPr>
            <w:tcW w:type="dxa" w:w="3243"/>
            <w:vAlign w:val="center"/>
            <w:tcMar>
              <w:top w:w="90" w:type="dxa"/>
              <w:left w:w="90" w:type="dxa"/>
              <w:bottom w:w="90" w:type="dxa"/>
              <w:right w:w="90" w:type="dxa"/>
            </w:tcMar>
            <w:shd w:fill="EEEEEE"/>
          </w:tcPr>
          <w:p>
            <w:pPr>
              <w:spacing w:after="40" w:line="276" w:lineRule="auto"/>
            </w:pPr>
            <w:r>
              <w:rPr>
                <w:b/>
                <w:i w:val="0"/>
                <w:sz w:val="18"/>
              </w:rPr>
              <w:t>计算用途</w:t>
            </w:r>
          </w:p>
        </w:tc>
      </w:tr>
      <w:tr>
        <w:trPr>
          <w:cantSplit/>
        </w:trPr>
        <w:tc>
          <w:tcPr>
            <w:tcW w:type="dxa" w:w="2399"/>
            <w:vAlign w:val="center"/>
            <w:tcMar>
              <w:top w:w="90" w:type="dxa"/>
              <w:left w:w="90" w:type="dxa"/>
              <w:bottom w:w="90" w:type="dxa"/>
              <w:right w:w="90" w:type="dxa"/>
            </w:tcMar>
          </w:tcPr>
          <w:p>
            <w:pPr>
              <w:spacing w:after="40" w:line="276" w:lineRule="auto"/>
            </w:pPr>
            <w:r>
              <w:rPr>
                <w:b w:val="0"/>
                <w:i w:val="0"/>
                <w:sz w:val="18"/>
              </w:rPr>
              <w:t>实际需求、需求预测</w:t>
            </w:r>
          </w:p>
        </w:tc>
        <w:tc>
          <w:tcPr>
            <w:tcW w:type="dxa" w:w="4151"/>
            <w:vAlign w:val="center"/>
            <w:tcMar>
              <w:top w:w="90" w:type="dxa"/>
              <w:left w:w="90" w:type="dxa"/>
              <w:bottom w:w="90" w:type="dxa"/>
              <w:right w:w="90" w:type="dxa"/>
            </w:tcMar>
          </w:tcPr>
          <w:p>
            <w:pPr>
              <w:spacing w:after="40" w:line="276" w:lineRule="auto"/>
            </w:pPr>
            <w:r>
              <w:rPr>
                <w:rFonts w:ascii="DejaVu Sans Mono" w:hAnsi="DejaVu Sans Mono"/>
                <w:b w:val="0"/>
                <w:i w:val="0"/>
                <w:sz w:val="18"/>
              </w:rPr>
              <w:t>actual_mw.csv</w:t>
            </w:r>
            <w:r>
              <w:rPr>
                <w:b w:val="0"/>
                <w:i w:val="0"/>
                <w:sz w:val="18"/>
              </w:rPr>
              <w:t xml:space="preserve"> 的 </w:t>
            </w:r>
            <w:r>
              <w:rPr>
                <w:rFonts w:ascii="DejaVu Sans Mono" w:hAnsi="DejaVu Sans Mono"/>
                <w:b w:val="0"/>
                <w:i w:val="0"/>
                <w:sz w:val="18"/>
              </w:rPr>
              <w:t>demand_mw</w:t>
            </w:r>
            <w:r>
              <w:rPr>
                <w:b w:val="0"/>
                <w:i w:val="0"/>
                <w:sz w:val="18"/>
              </w:rPr>
              <w:t>；</w:t>
            </w:r>
            <w:r>
              <w:rPr>
                <w:rFonts w:ascii="DejaVu Sans Mono" w:hAnsi="DejaVu Sans Mono"/>
                <w:b w:val="0"/>
                <w:i w:val="0"/>
                <w:sz w:val="18"/>
              </w:rPr>
              <w:t>forecast_mw.csv</w:t>
            </w:r>
            <w:r>
              <w:rPr>
                <w:b w:val="0"/>
                <w:i w:val="0"/>
                <w:sz w:val="18"/>
              </w:rPr>
              <w:t xml:space="preserve"> 的 </w:t>
            </w:r>
            <w:r>
              <w:rPr>
                <w:rFonts w:ascii="DejaVu Sans Mono" w:hAnsi="DejaVu Sans Mono"/>
                <w:b w:val="0"/>
                <w:i w:val="0"/>
                <w:sz w:val="18"/>
              </w:rPr>
              <w:t>forecast_mw</w:t>
            </w:r>
          </w:p>
        </w:tc>
        <w:tc>
          <w:tcPr>
            <w:tcW w:type="dxa" w:w="3243"/>
            <w:vAlign w:val="center"/>
            <w:tcMar>
              <w:top w:w="90" w:type="dxa"/>
              <w:left w:w="90" w:type="dxa"/>
              <w:bottom w:w="90" w:type="dxa"/>
              <w:right w:w="90" w:type="dxa"/>
            </w:tcMar>
          </w:tcPr>
          <w:p>
            <w:pPr>
              <w:spacing w:after="40" w:line="276" w:lineRule="auto"/>
            </w:pPr>
            <w:r>
              <w:rPr>
                <w:b w:val="0"/>
                <w:i w:val="0"/>
                <w:sz w:val="18"/>
              </w:rPr>
              <w:t>实时平衡、日前出清及需求误差</w:t>
            </w:r>
          </w:p>
        </w:tc>
      </w:tr>
      <w:tr>
        <w:trPr>
          <w:cantSplit/>
        </w:trPr>
        <w:tc>
          <w:tcPr>
            <w:tcW w:type="dxa" w:w="2399"/>
            <w:vAlign w:val="center"/>
            <w:tcMar>
              <w:top w:w="90" w:type="dxa"/>
              <w:left w:w="90" w:type="dxa"/>
              <w:bottom w:w="90" w:type="dxa"/>
              <w:right w:w="90" w:type="dxa"/>
            </w:tcMar>
          </w:tcPr>
          <w:p>
            <w:pPr>
              <w:spacing w:after="40" w:line="276" w:lineRule="auto"/>
            </w:pPr>
            <w:r>
              <w:rPr>
                <w:b w:val="0"/>
                <w:i w:val="0"/>
                <w:sz w:val="18"/>
              </w:rPr>
              <w:t>机组与初始资产</w:t>
            </w:r>
          </w:p>
        </w:tc>
        <w:tc>
          <w:tcPr>
            <w:tcW w:type="dxa" w:w="4151"/>
            <w:vAlign w:val="center"/>
            <w:tcMar>
              <w:top w:w="90" w:type="dxa"/>
              <w:left w:w="90" w:type="dxa"/>
              <w:bottom w:w="90" w:type="dxa"/>
              <w:right w:w="90" w:type="dxa"/>
            </w:tcMar>
          </w:tcPr>
          <w:p>
            <w:pPr>
              <w:spacing w:after="40" w:line="276" w:lineRule="auto"/>
            </w:pPr>
            <w:r>
              <w:rPr>
                <w:rFonts w:ascii="DejaVu Sans Mono" w:hAnsi="DejaVu Sans Mono"/>
                <w:b w:val="0"/>
                <w:i w:val="0"/>
                <w:sz w:val="18"/>
              </w:rPr>
              <w:t>fleet.json</w:t>
            </w:r>
            <w:r>
              <w:rPr>
                <w:b w:val="0"/>
                <w:i w:val="0"/>
                <w:sz w:val="18"/>
              </w:rPr>
              <w:t xml:space="preserve">、年度 </w:t>
            </w:r>
            <w:r>
              <w:rPr>
                <w:rFonts w:ascii="DejaVu Sans Mono" w:hAnsi="DejaVu Sans Mono"/>
                <w:b w:val="0"/>
                <w:i w:val="0"/>
                <w:sz w:val="18"/>
              </w:rPr>
              <w:t>operating_state</w:t>
            </w:r>
          </w:p>
        </w:tc>
        <w:tc>
          <w:tcPr>
            <w:tcW w:type="dxa" w:w="3243"/>
            <w:vAlign w:val="center"/>
            <w:tcMar>
              <w:top w:w="90" w:type="dxa"/>
              <w:left w:w="90" w:type="dxa"/>
              <w:bottom w:w="90" w:type="dxa"/>
              <w:right w:w="90" w:type="dxa"/>
            </w:tcMar>
          </w:tcPr>
          <w:p>
            <w:pPr>
              <w:spacing w:after="40" w:line="276" w:lineRule="auto"/>
            </w:pPr>
            <w:r>
              <w:rPr>
                <w:b w:val="0"/>
                <w:i w:val="0"/>
                <w:sz w:val="18"/>
              </w:rPr>
              <w:t>技术参数、代表位置和进入调度的容量</w:t>
            </w:r>
          </w:p>
        </w:tc>
      </w:tr>
      <w:tr>
        <w:trPr>
          <w:cantSplit/>
        </w:trPr>
        <w:tc>
          <w:tcPr>
            <w:tcW w:type="dxa" w:w="2399"/>
            <w:vAlign w:val="center"/>
            <w:tcMar>
              <w:top w:w="90" w:type="dxa"/>
              <w:left w:w="90" w:type="dxa"/>
              <w:bottom w:w="90" w:type="dxa"/>
              <w:right w:w="90" w:type="dxa"/>
            </w:tcMar>
          </w:tcPr>
          <w:p>
            <w:pPr>
              <w:spacing w:after="40" w:line="276" w:lineRule="auto"/>
            </w:pPr>
            <w:r>
              <w:rPr>
                <w:b w:val="0"/>
                <w:i w:val="0"/>
                <w:sz w:val="18"/>
              </w:rPr>
              <w:t>项目及规划</w:t>
            </w:r>
          </w:p>
        </w:tc>
        <w:tc>
          <w:tcPr>
            <w:tcW w:type="dxa" w:w="4151"/>
            <w:vAlign w:val="center"/>
            <w:tcMar>
              <w:top w:w="90" w:type="dxa"/>
              <w:left w:w="90" w:type="dxa"/>
              <w:bottom w:w="90" w:type="dxa"/>
              <w:right w:w="90" w:type="dxa"/>
            </w:tcMar>
          </w:tcPr>
          <w:p>
            <w:pPr>
              <w:spacing w:after="40" w:line="276" w:lineRule="auto"/>
            </w:pPr>
            <w:r>
              <w:rPr>
                <w:rFonts w:ascii="DejaVu Sans Mono" w:hAnsi="DejaVu Sans Mono"/>
                <w:b w:val="0"/>
                <w:i w:val="0"/>
                <w:sz w:val="18"/>
              </w:rPr>
              <w:t>repd_​projects_​normalized.csv</w:t>
            </w:r>
            <w:r>
              <w:rPr>
                <w:b w:val="0"/>
                <w:i w:val="0"/>
                <w:sz w:val="18"/>
              </w:rPr>
              <w:t>、</w:t>
            </w:r>
            <w:r>
              <w:rPr>
                <w:rFonts w:ascii="DejaVu Sans Mono" w:hAnsi="DejaVu Sans Mono"/>
                <w:b w:val="0"/>
                <w:i w:val="0"/>
                <w:sz w:val="18"/>
              </w:rPr>
              <w:t>regional_​technology_​success_​rates.csv</w:t>
            </w:r>
            <w:r>
              <w:rPr>
                <w:b w:val="0"/>
                <w:i w:val="0"/>
                <w:sz w:val="18"/>
              </w:rPr>
              <w:t>、</w:t>
            </w:r>
            <w:r>
              <w:rPr>
                <w:rFonts w:ascii="DejaVu Sans Mono" w:hAnsi="DejaVu Sans Mono"/>
                <w:b w:val="0"/>
                <w:i w:val="0"/>
                <w:sz w:val="18"/>
              </w:rPr>
              <w:t>planning_timelines.json</w:t>
            </w:r>
          </w:p>
        </w:tc>
        <w:tc>
          <w:tcPr>
            <w:tcW w:type="dxa" w:w="3243"/>
            <w:vAlign w:val="center"/>
            <w:tcMar>
              <w:top w:w="90" w:type="dxa"/>
              <w:left w:w="90" w:type="dxa"/>
              <w:bottom w:w="90" w:type="dxa"/>
              <w:right w:w="90" w:type="dxa"/>
            </w:tcMar>
          </w:tcPr>
          <w:p>
            <w:pPr>
              <w:spacing w:after="40" w:line="276" w:lineRule="auto"/>
            </w:pPr>
            <w:r>
              <w:rPr>
                <w:b w:val="0"/>
                <w:i w:val="0"/>
                <w:sz w:val="18"/>
              </w:rPr>
              <w:t>初始投运资产、项目成功率与阶段时间</w:t>
            </w:r>
          </w:p>
        </w:tc>
      </w:tr>
      <w:tr>
        <w:trPr>
          <w:cantSplit/>
        </w:trPr>
        <w:tc>
          <w:tcPr>
            <w:tcW w:type="dxa" w:w="2399"/>
            <w:vAlign w:val="center"/>
            <w:tcMar>
              <w:top w:w="90" w:type="dxa"/>
              <w:left w:w="90" w:type="dxa"/>
              <w:bottom w:w="90" w:type="dxa"/>
              <w:right w:w="90" w:type="dxa"/>
            </w:tcMar>
          </w:tcPr>
          <w:p>
            <w:pPr>
              <w:spacing w:after="40" w:line="276" w:lineRule="auto"/>
            </w:pPr>
            <w:r>
              <w:rPr>
                <w:b w:val="0"/>
                <w:i w:val="0"/>
                <w:sz w:val="18"/>
              </w:rPr>
              <w:t>天气</w:t>
            </w:r>
          </w:p>
        </w:tc>
        <w:tc>
          <w:tcPr>
            <w:tcW w:type="dxa" w:w="4151"/>
            <w:vAlign w:val="center"/>
            <w:tcMar>
              <w:top w:w="90" w:type="dxa"/>
              <w:left w:w="90" w:type="dxa"/>
              <w:bottom w:w="90" w:type="dxa"/>
              <w:right w:w="90" w:type="dxa"/>
            </w:tcMar>
          </w:tcPr>
          <w:p>
            <w:pPr>
              <w:spacing w:after="40" w:line="276" w:lineRule="auto"/>
            </w:pPr>
            <w:r>
              <w:rPr>
                <w:rFonts w:ascii="DejaVu Sans Mono" w:hAnsi="DejaVu Sans Mono"/>
                <w:b w:val="0"/>
                <w:i w:val="0"/>
                <w:sz w:val="18"/>
              </w:rPr>
              <w:t>calendar_​mean_​solar_​2020_​2024.nc</w:t>
            </w:r>
            <w:r>
              <w:rPr>
                <w:b w:val="0"/>
                <w:i w:val="0"/>
                <w:sz w:val="18"/>
              </w:rPr>
              <w:t>、</w:t>
            </w:r>
            <w:r>
              <w:rPr>
                <w:rFonts w:ascii="DejaVu Sans Mono" w:hAnsi="DejaVu Sans Mono"/>
                <w:b w:val="0"/>
                <w:i w:val="0"/>
                <w:sz w:val="18"/>
              </w:rPr>
              <w:t>calendar_​mean_​wind_​2020_​2024.nc</w:t>
            </w:r>
          </w:p>
        </w:tc>
        <w:tc>
          <w:tcPr>
            <w:tcW w:type="dxa" w:w="3243"/>
            <w:vAlign w:val="center"/>
            <w:tcMar>
              <w:top w:w="90" w:type="dxa"/>
              <w:left w:w="90" w:type="dxa"/>
              <w:bottom w:w="90" w:type="dxa"/>
              <w:right w:w="90" w:type="dxa"/>
            </w:tcMar>
          </w:tcPr>
          <w:p>
            <w:pPr>
              <w:spacing w:after="40" w:line="276" w:lineRule="auto"/>
            </w:pPr>
            <w:r>
              <w:rPr>
                <w:b w:val="0"/>
                <w:i w:val="0"/>
                <w:sz w:val="18"/>
              </w:rPr>
              <w:t>代表点风光可用出力</w:t>
            </w:r>
          </w:p>
        </w:tc>
      </w:tr>
      <w:tr>
        <w:trPr>
          <w:cantSplit/>
        </w:trPr>
        <w:tc>
          <w:tcPr>
            <w:tcW w:type="dxa" w:w="2399"/>
            <w:vAlign w:val="center"/>
            <w:tcMar>
              <w:top w:w="90" w:type="dxa"/>
              <w:left w:w="90" w:type="dxa"/>
              <w:bottom w:w="90" w:type="dxa"/>
              <w:right w:w="90" w:type="dxa"/>
            </w:tcMar>
          </w:tcPr>
          <w:p>
            <w:pPr>
              <w:spacing w:after="40" w:line="276" w:lineRule="auto"/>
            </w:pPr>
            <w:r>
              <w:rPr>
                <w:b w:val="0"/>
                <w:i w:val="0"/>
                <w:sz w:val="18"/>
              </w:rPr>
              <w:t>技术平均曲线</w:t>
            </w:r>
          </w:p>
        </w:tc>
        <w:tc>
          <w:tcPr>
            <w:tcW w:type="dxa" w:w="4151"/>
            <w:vAlign w:val="center"/>
            <w:tcMar>
              <w:top w:w="90" w:type="dxa"/>
              <w:left w:w="90" w:type="dxa"/>
              <w:bottom w:w="90" w:type="dxa"/>
              <w:right w:w="90" w:type="dxa"/>
            </w:tcMar>
          </w:tcPr>
          <w:p>
            <w:pPr>
              <w:spacing w:after="40" w:line="276" w:lineRule="auto"/>
            </w:pPr>
            <w:r>
              <w:rPr>
                <w:rFonts w:ascii="DejaVu Sans Mono" w:hAnsi="DejaVu Sans Mono"/>
                <w:b w:val="0"/>
                <w:i w:val="0"/>
                <w:sz w:val="18"/>
              </w:rPr>
              <w:t>sa.csv</w:t>
            </w:r>
            <w:r>
              <w:rPr>
                <w:b w:val="0"/>
                <w:i w:val="0"/>
                <w:sz w:val="18"/>
              </w:rPr>
              <w:t>、</w:t>
            </w:r>
            <w:r>
              <w:rPr>
                <w:rFonts w:ascii="DejaVu Sans Mono" w:hAnsi="DejaVu Sans Mono"/>
                <w:b w:val="0"/>
                <w:i w:val="0"/>
                <w:sz w:val="18"/>
              </w:rPr>
              <w:t>wa.csv</w:t>
            </w:r>
            <w:r>
              <w:rPr>
                <w:b w:val="0"/>
                <w:i w:val="0"/>
                <w:sz w:val="18"/>
              </w:rPr>
              <w:t>、</w:t>
            </w:r>
            <w:r>
              <w:rPr>
                <w:rFonts w:ascii="DejaVu Sans Mono" w:hAnsi="DejaVu Sans Mono"/>
                <w:b w:val="0"/>
                <w:i w:val="0"/>
                <w:sz w:val="18"/>
              </w:rPr>
              <w:t>we.csv</w:t>
            </w:r>
          </w:p>
        </w:tc>
        <w:tc>
          <w:tcPr>
            <w:tcW w:type="dxa" w:w="3243"/>
            <w:vAlign w:val="center"/>
            <w:tcMar>
              <w:top w:w="90" w:type="dxa"/>
              <w:left w:w="90" w:type="dxa"/>
              <w:bottom w:w="90" w:type="dxa"/>
              <w:right w:w="90" w:type="dxa"/>
            </w:tcMar>
          </w:tcPr>
          <w:p>
            <w:pPr>
              <w:spacing w:after="40" w:line="276" w:lineRule="auto"/>
            </w:pPr>
            <w:r>
              <w:rPr>
                <w:b w:val="0"/>
                <w:i w:val="0"/>
                <w:sz w:val="18"/>
              </w:rPr>
              <w:t>光伏、陆风、海风的技术平均投资输入</w:t>
            </w:r>
          </w:p>
        </w:tc>
      </w:tr>
      <w:tr>
        <w:trPr>
          <w:cantSplit/>
        </w:trPr>
        <w:tc>
          <w:tcPr>
            <w:tcW w:type="dxa" w:w="2399"/>
            <w:vAlign w:val="center"/>
            <w:tcMar>
              <w:top w:w="90" w:type="dxa"/>
              <w:left w:w="90" w:type="dxa"/>
              <w:bottom w:w="90" w:type="dxa"/>
              <w:right w:w="90" w:type="dxa"/>
            </w:tcMar>
          </w:tcPr>
          <w:p>
            <w:pPr>
              <w:spacing w:after="40" w:line="276" w:lineRule="auto"/>
            </w:pPr>
            <w:r>
              <w:rPr>
                <w:b w:val="0"/>
                <w:i w:val="0"/>
                <w:sz w:val="18"/>
              </w:rPr>
              <w:t>资本与政策</w:t>
            </w:r>
          </w:p>
        </w:tc>
        <w:tc>
          <w:tcPr>
            <w:tcW w:type="dxa" w:w="4151"/>
            <w:vAlign w:val="center"/>
            <w:tcMar>
              <w:top w:w="90" w:type="dxa"/>
              <w:left w:w="90" w:type="dxa"/>
              <w:bottom w:w="90" w:type="dxa"/>
              <w:right w:w="90" w:type="dxa"/>
            </w:tcMar>
          </w:tcPr>
          <w:p>
            <w:pPr>
              <w:spacing w:after="40" w:line="276" w:lineRule="auto"/>
            </w:pPr>
            <w:r>
              <w:rPr>
                <w:rFonts w:ascii="DejaVu Sans Mono" w:hAnsi="DejaVu Sans Mono"/>
                <w:b w:val="0"/>
                <w:i w:val="0"/>
                <w:sz w:val="18"/>
              </w:rPr>
              <w:t>capital_costs.json</w:t>
            </w:r>
            <w:r>
              <w:rPr>
                <w:b w:val="0"/>
                <w:i w:val="0"/>
                <w:sz w:val="18"/>
              </w:rPr>
              <w:t>、</w:t>
            </w:r>
            <w:r>
              <w:rPr>
                <w:rFonts w:ascii="DejaVu Sans Mono" w:hAnsi="DejaVu Sans Mono"/>
                <w:b w:val="0"/>
                <w:i w:val="0"/>
                <w:sz w:val="18"/>
              </w:rPr>
              <w:t>model_parameters.json</w:t>
            </w:r>
            <w:r>
              <w:rPr>
                <w:b w:val="0"/>
                <w:i w:val="0"/>
                <w:sz w:val="18"/>
              </w:rPr>
              <w:t>、</w:t>
            </w:r>
            <w:r>
              <w:rPr>
                <w:rFonts w:ascii="DejaVu Sans Mono" w:hAnsi="DejaVu Sans Mono"/>
                <w:b w:val="0"/>
                <w:i w:val="0"/>
                <w:sz w:val="18"/>
              </w:rPr>
              <w:t>mechansim cost.xlsx</w:t>
            </w:r>
          </w:p>
        </w:tc>
        <w:tc>
          <w:tcPr>
            <w:tcW w:type="dxa" w:w="3243"/>
            <w:vAlign w:val="center"/>
            <w:tcMar>
              <w:top w:w="90" w:type="dxa"/>
              <w:left w:w="90" w:type="dxa"/>
              <w:bottom w:w="90" w:type="dxa"/>
              <w:right w:w="90" w:type="dxa"/>
            </w:tcMar>
          </w:tcPr>
          <w:p>
            <w:pPr>
              <w:spacing w:after="40" w:line="276" w:lineRule="auto"/>
            </w:pPr>
            <w:r>
              <w:rPr>
                <w:b w:val="0"/>
                <w:i w:val="0"/>
                <w:sz w:val="18"/>
              </w:rPr>
              <w:t>投资成本、财务参数及政策支出</w:t>
            </w:r>
          </w:p>
        </w:tc>
      </w:tr>
      <w:tr>
        <w:trPr>
          <w:cantSplit/>
        </w:trPr>
        <w:tc>
          <w:tcPr>
            <w:tcW w:type="dxa" w:w="2399"/>
            <w:vAlign w:val="center"/>
            <w:tcMar>
              <w:top w:w="90" w:type="dxa"/>
              <w:left w:w="90" w:type="dxa"/>
              <w:bottom w:w="90" w:type="dxa"/>
              <w:right w:w="90" w:type="dxa"/>
            </w:tcMar>
          </w:tcPr>
          <w:p>
            <w:pPr>
              <w:spacing w:after="40" w:line="276" w:lineRule="auto"/>
            </w:pPr>
            <w:r>
              <w:rPr>
                <w:b w:val="0"/>
                <w:i w:val="0"/>
                <w:sz w:val="18"/>
              </w:rPr>
              <w:t>外部市场</w:t>
            </w:r>
          </w:p>
        </w:tc>
        <w:tc>
          <w:tcPr>
            <w:tcW w:type="dxa" w:w="4151"/>
            <w:vAlign w:val="center"/>
            <w:tcMar>
              <w:top w:w="90" w:type="dxa"/>
              <w:left w:w="90" w:type="dxa"/>
              <w:bottom w:w="90" w:type="dxa"/>
              <w:right w:w="90" w:type="dxa"/>
            </w:tcMar>
          </w:tcPr>
          <w:p>
            <w:pPr>
              <w:spacing w:after="40" w:line="276" w:lineRule="auto"/>
            </w:pPr>
            <w:r>
              <w:rPr>
                <w:b w:val="0"/>
                <w:i w:val="0"/>
                <w:sz w:val="18"/>
              </w:rPr>
              <w:t xml:space="preserve">各国 </w:t>
            </w:r>
            <w:r>
              <w:rPr>
                <w:rFonts w:ascii="DejaVu Sans Mono" w:hAnsi="DejaVu Sans Mono"/>
                <w:b w:val="0"/>
                <w:i w:val="0"/>
                <w:sz w:val="18"/>
              </w:rPr>
              <w:t>flow_mw</w:t>
            </w:r>
            <w:r>
              <w:rPr>
                <w:b w:val="0"/>
                <w:i w:val="0"/>
                <w:sz w:val="18"/>
              </w:rPr>
              <w:t>、</w:t>
            </w:r>
            <w:r>
              <w:rPr>
                <w:rFonts w:ascii="DejaVu Sans Mono" w:hAnsi="DejaVu Sans Mono"/>
                <w:b w:val="0"/>
                <w:i w:val="0"/>
                <w:sz w:val="18"/>
              </w:rPr>
              <w:t>price_gbp_per_mwh</w:t>
            </w:r>
          </w:p>
        </w:tc>
        <w:tc>
          <w:tcPr>
            <w:tcW w:type="dxa" w:w="3243"/>
            <w:vAlign w:val="center"/>
            <w:tcMar>
              <w:top w:w="90" w:type="dxa"/>
              <w:left w:w="90" w:type="dxa"/>
              <w:bottom w:w="90" w:type="dxa"/>
              <w:right w:w="90" w:type="dxa"/>
            </w:tcMar>
          </w:tcPr>
          <w:p>
            <w:pPr>
              <w:spacing w:after="40" w:line="276" w:lineRule="auto"/>
            </w:pPr>
            <w:r>
              <w:rPr>
                <w:b w:val="0"/>
                <w:i w:val="0"/>
                <w:sz w:val="18"/>
              </w:rPr>
              <w:t>互联线可用交换量与外部报价</w:t>
            </w:r>
          </w:p>
        </w:tc>
      </w:tr>
      <w:tr>
        <w:trPr>
          <w:cantSplit/>
        </w:trPr>
        <w:tc>
          <w:tcPr>
            <w:tcW w:type="dxa" w:w="2399"/>
            <w:vAlign w:val="center"/>
            <w:tcMar>
              <w:top w:w="90" w:type="dxa"/>
              <w:left w:w="90" w:type="dxa"/>
              <w:bottom w:w="90" w:type="dxa"/>
              <w:right w:w="90" w:type="dxa"/>
            </w:tcMar>
          </w:tcPr>
          <w:p>
            <w:pPr>
              <w:spacing w:after="40" w:line="276" w:lineRule="auto"/>
            </w:pPr>
            <w:r>
              <w:rPr>
                <w:b w:val="0"/>
                <w:i w:val="0"/>
                <w:sz w:val="18"/>
              </w:rPr>
              <w:t>分区网络</w:t>
            </w:r>
          </w:p>
        </w:tc>
        <w:tc>
          <w:tcPr>
            <w:tcW w:type="dxa" w:w="4151"/>
            <w:vAlign w:val="center"/>
            <w:tcMar>
              <w:top w:w="90" w:type="dxa"/>
              <w:left w:w="90" w:type="dxa"/>
              <w:bottom w:w="90" w:type="dxa"/>
              <w:right w:w="90" w:type="dxa"/>
            </w:tcMar>
          </w:tcPr>
          <w:p>
            <w:pPr>
              <w:spacing w:after="40" w:line="276" w:lineRule="auto"/>
            </w:pPr>
            <w:r>
              <w:rPr>
                <w:b w:val="0"/>
                <w:i w:val="0"/>
                <w:sz w:val="18"/>
              </w:rPr>
              <w:t>区域、走廊、边界、资产映射、分区需求</w:t>
            </w:r>
          </w:p>
        </w:tc>
        <w:tc>
          <w:tcPr>
            <w:tcW w:type="dxa" w:w="3243"/>
            <w:vAlign w:val="center"/>
            <w:tcMar>
              <w:top w:w="90" w:type="dxa"/>
              <w:left w:w="90" w:type="dxa"/>
              <w:bottom w:w="90" w:type="dxa"/>
              <w:right w:w="90" w:type="dxa"/>
            </w:tcMar>
          </w:tcPr>
          <w:p>
            <w:pPr>
              <w:spacing w:after="40" w:line="276" w:lineRule="auto"/>
            </w:pPr>
            <w:r>
              <w:rPr>
                <w:b w:val="0"/>
                <w:i w:val="0"/>
                <w:sz w:val="18"/>
              </w:rPr>
              <w:t>空间供需平衡和传输约束</w:t>
            </w:r>
          </w:p>
        </w:tc>
      </w:tr>
    </w:tbl>
    <w:p>
      <w:pPr>
        <w:spacing w:after="20"/>
      </w:pPr>
    </w:p>
    <w:p>
      <w:pPr>
        <w:pStyle w:val="Heading2"/>
      </w:pPr>
      <w:r>
        <w:rPr>
          <w:b w:val="0"/>
          <w:i w:val="0"/>
        </w:rPr>
        <w:t>模型时钟与单位</w:t>
      </w:r>
    </w:p>
    <w:p>
      <w:r>
        <w:rPr>
          <w:b w:val="0"/>
          <w:i w:val="0"/>
        </w:rPr>
        <w:t>运行年在 365 日 UTC 日历上包含 17,520 个半小时。第零期从 1 月 1 日 00:00 开始，2 月包含 28 日。资产容量以 MW 表示，储能电量以 MWh 表示，金额以 GBP 表示，电价以 GBP/MWh 表示。</w:t>
      </w:r>
      <w:r>
        <w:rPr>
          <w:rFonts w:ascii="DejaVu Sans Mono" w:hAnsi="DejaVu Sans Mono"/>
          <w:b w:val="0"/>
          <w:i w:val="0"/>
          <w:sz w:val="17"/>
        </w:rPr>
        <w:t>period_start_utc</w:t>
      </w:r>
      <w:r>
        <w:rPr>
          <w:b w:val="0"/>
          <w:i w:val="0"/>
        </w:rPr>
        <w:t xml:space="preserve"> 为每个时段确定日历时间。</w:t>
      </w:r>
    </w:p>
    <w:p>
      <w:pPr>
        <w:keepNext/>
      </w:pPr>
      <w:r>
        <w:rPr>
          <w:b w:val="0"/>
          <w:i w:val="0"/>
        </w:rPr>
        <w:t xml:space="preserve">需求以 MW 功率载入。默认全国算法由 </w:t>
      </w:r>
      <w:r>
        <w:rPr>
          <w:rFonts w:ascii="DejaVu Sans Mono" w:hAnsi="DejaVu Sans Mono"/>
          <w:b w:val="0"/>
          <w:i w:val="0"/>
          <w:sz w:val="17"/>
        </w:rPr>
        <w:t>_kernel_inputs</w:t>
      </w:r>
      <w:r>
        <w:rPr>
          <w:b w:val="0"/>
          <w:i w:val="0"/>
        </w:rPr>
        <w:t xml:space="preserve"> 将 </w:t>
      </w:r>
      <w:r>
        <w:rPr>
          <w:rFonts w:ascii="DejaVu Sans Mono" w:hAnsi="DejaVu Sans Mono"/>
          <w:b w:val="0"/>
          <w:i w:val="0"/>
          <w:sz w:val="17"/>
        </w:rPr>
        <w:t>read_role</w:t>
      </w:r>
      <w:r>
        <w:rPr>
          <w:b w:val="0"/>
          <w:i w:val="0"/>
        </w:rPr>
        <w:t xml:space="preserve"> 取得的 MW 数值传给 </w:t>
      </w:r>
      <w:r>
        <w:rPr>
          <w:rFonts w:ascii="DejaVu Sans Mono" w:hAnsi="DejaVu Sans Mono"/>
          <w:b w:val="0"/>
          <w:i w:val="0"/>
          <w:sz w:val="17"/>
        </w:rPr>
        <w:t>run_simulation</w:t>
      </w:r>
      <w:r>
        <w:rPr>
          <w:b w:val="0"/>
          <w:i w:val="0"/>
        </w:rPr>
        <w:t xml:space="preserve">；分阶段与优化接口通过 </w:t>
      </w:r>
      <w:r>
        <w:rPr>
          <w:rFonts w:ascii="DejaVu Sans Mono" w:hAnsi="DejaVu Sans Mono"/>
          <w:b w:val="0"/>
          <w:i w:val="0"/>
          <w:sz w:val="17"/>
        </w:rPr>
        <w:t>canonical_psm_data</w:t>
      </w:r>
      <w:r>
        <w:rPr>
          <w:b w:val="0"/>
          <w:i w:val="0"/>
        </w:rPr>
        <w:t xml:space="preserve"> 的 </w:t>
      </w:r>
      <w:r>
        <w:rPr>
          <w:rFonts w:ascii="DejaVu Sans Mono" w:hAnsi="DejaVu Sans Mono"/>
          <w:b w:val="0"/>
          <w:i w:val="0"/>
          <w:sz w:val="17"/>
        </w:rPr>
        <w:t>build_chronology</w:t>
      </w:r>
      <w:r>
        <w:rPr>
          <w:b w:val="0"/>
          <w:i w:val="0"/>
        </w:rPr>
        <w:t xml:space="preserve"> 构造时段电量，其中 </w:t>
      </w:r>
      <w:r>
        <w:rPr>
          <w:rFonts w:ascii="DejaVu Sans Mono" w:hAnsi="DejaVu Sans Mono"/>
          <w:b w:val="0"/>
          <w:i w:val="0"/>
          <w:sz w:val="17"/>
        </w:rPr>
        <w:t>series["demand.real"].values</w:t>
      </w:r>
      <w:r>
        <w:rPr>
          <w:b w:val="0"/>
          <w:i w:val="0"/>
        </w:rPr>
        <w:t>、</w:t>
      </w:r>
      <w:r>
        <w:rPr>
          <w:rFonts w:ascii="DejaVu Sans Mono" w:hAnsi="DejaVu Sans Mono"/>
          <w:b w:val="0"/>
          <w:i w:val="0"/>
          <w:sz w:val="17"/>
        </w:rPr>
        <w:t>series["demand.forecast"].values</w:t>
      </w:r>
      <w:r>
        <w:rPr>
          <w:b w:val="0"/>
          <w:i w:val="0"/>
        </w:rPr>
        <w:t xml:space="preserve"> 存储 MW，</w:t>
      </w:r>
      <w:r>
        <w:rPr>
          <w:rFonts w:ascii="DejaVu Sans Mono" w:hAnsi="DejaVu Sans Mono"/>
          <w:b w:val="0"/>
          <w:i w:val="0"/>
          <w:sz w:val="17"/>
        </w:rPr>
        <w:t>demand</w:t>
      </w:r>
      <w:r>
        <w:rPr>
          <w:b w:val="0"/>
          <w:i w:val="0"/>
        </w:rPr>
        <w:t>、</w:t>
      </w:r>
      <w:r>
        <w:rPr>
          <w:rFonts w:ascii="DejaVu Sans Mono" w:hAnsi="DejaVu Sans Mono"/>
          <w:b w:val="0"/>
          <w:i w:val="0"/>
          <w:sz w:val="17"/>
        </w:rPr>
        <w:t>forecast_demand</w:t>
      </w:r>
      <w:r>
        <w:rPr>
          <w:b w:val="0"/>
          <w:i w:val="0"/>
        </w:rPr>
        <w:t xml:space="preserve"> 存储 MWh/时段。对从零开始的时段编号 </w:t>
      </w:r>
      <w:r>
        <w:rPr>
          <w:rFonts w:ascii="DejaVu Sans Mono" w:hAnsi="DejaVu Sans Mono"/>
          <w:b w:val="0"/>
          <w:i w:val="0"/>
          <w:sz w:val="17"/>
        </w:rPr>
        <w:t>t</w:t>
      </w:r>
      <w:r>
        <w:rPr>
          <w:b w:val="0"/>
          <w:i w:val="0"/>
        </w:rPr>
        <w:t>，</w:t>
      </w:r>
    </w:p>
    <w:p>
      <w:pPr>
        <w:spacing w:after="160"/>
        <w:jc w:val="center"/>
      </w:pPr>
      <w:r>
        <w:drawing>
          <wp:inline xmlns:a="http://schemas.openxmlformats.org/drawingml/2006/main" xmlns:pic="http://schemas.openxmlformats.org/drawingml/2006/picture">
            <wp:extent cx="5729782" cy="621908"/>
            <wp:docPr id="1" name="Picture 1"/>
            <wp:cNvGraphicFramePr>
              <a:graphicFrameLocks noChangeAspect="1"/>
            </wp:cNvGraphicFramePr>
            <a:graphic>
              <a:graphicData uri="http://schemas.openxmlformats.org/drawingml/2006/picture">
                <pic:pic>
                  <pic:nvPicPr>
                    <pic:cNvPr id="0" name="eq-001.png"/>
                    <pic:cNvPicPr/>
                  </pic:nvPicPr>
                  <pic:blipFill>
                    <a:blip r:embed="rId11"/>
                    <a:stretch>
                      <a:fillRect/>
                    </a:stretch>
                  </pic:blipFill>
                  <pic:spPr>
                    <a:xfrm>
                      <a:off x="0" y="0"/>
                      <a:ext cx="5729782" cy="621908"/>
                    </a:xfrm>
                    <a:prstGeom prst="rect"/>
                  </pic:spPr>
                </pic:pic>
              </a:graphicData>
            </a:graphic>
          </wp:inline>
        </w:drawing>
      </w:r>
    </w:p>
    <w:p>
      <w:r>
        <w:rPr>
          <w:b w:val="0"/>
          <w:i w:val="0"/>
        </w:rPr>
        <w:t xml:space="preserve">全年需求电量为 </w:t>
      </w:r>
      <w:r>
        <w:rPr>
          <w:rFonts w:ascii="DejaVu Sans Mono" w:hAnsi="DejaVu Sans Mono"/>
          <w:b w:val="0"/>
          <w:i w:val="0"/>
          <w:sz w:val="17"/>
        </w:rPr>
        <w:t>demand</w:t>
      </w:r>
      <w:r>
        <w:rPr>
          <w:b w:val="0"/>
          <w:i w:val="0"/>
        </w:rPr>
        <w:t xml:space="preserve"> 各项之和。用户提供的需求列若以 MWh/源时段表示，先除以该源时段的小时数得到 MW，再对齐至半小时。VALUE 101 在名为 </w:t>
      </w:r>
      <w:r>
        <w:rPr>
          <w:rFonts w:ascii="DejaVu Sans Mono" w:hAnsi="DejaVu Sans Mono"/>
          <w:b w:val="0"/>
          <w:i w:val="0"/>
          <w:sz w:val="17"/>
        </w:rPr>
        <w:t>mwh</w:t>
      </w:r>
      <w:r>
        <w:rPr>
          <w:b w:val="0"/>
          <w:i w:val="0"/>
        </w:rPr>
        <w:t xml:space="preserve"> 的列中写入合成功率值，这些数值也按上述 MW 至 MWh 关系进入计算。</w:t>
      </w:r>
    </w:p>
    <w:p>
      <w:pPr>
        <w:pStyle w:val="Heading2"/>
      </w:pPr>
      <w:r>
        <w:rPr>
          <w:b w:val="0"/>
          <w:i w:val="0"/>
        </w:rPr>
        <w:t>列选择、缺失值与全年对齐</w:t>
      </w:r>
    </w:p>
    <w:p>
      <w:r>
        <w:rPr>
          <w:b w:val="0"/>
          <w:i w:val="0"/>
        </w:rPr>
        <w:t>时序载入按声明的列名和表头执行。</w:t>
      </w:r>
      <w:r>
        <w:rPr>
          <w:rFonts w:ascii="DejaVu Sans Mono" w:hAnsi="DejaVu Sans Mono"/>
          <w:b w:val="0"/>
          <w:i w:val="0"/>
          <w:sz w:val="17"/>
        </w:rPr>
        <w:t>read_series</w:t>
      </w:r>
      <w:r>
        <w:rPr>
          <w:b w:val="0"/>
          <w:i w:val="0"/>
        </w:rPr>
        <w:t xml:space="preserve"> 在 </w:t>
      </w:r>
      <w:r>
        <w:rPr>
          <w:rFonts w:ascii="DejaVu Sans Mono" w:hAnsi="DejaVu Sans Mono"/>
          <w:b w:val="0"/>
          <w:i w:val="0"/>
          <w:sz w:val="17"/>
        </w:rPr>
        <w:t>csv_header=true</w:t>
      </w:r>
      <w:r>
        <w:rPr>
          <w:b w:val="0"/>
          <w:i w:val="0"/>
        </w:rPr>
        <w:t xml:space="preserve"> 时读取 </w:t>
      </w:r>
      <w:r>
        <w:rPr>
          <w:rFonts w:ascii="DejaVu Sans Mono" w:hAnsi="DejaVu Sans Mono"/>
          <w:b w:val="0"/>
          <w:i w:val="0"/>
          <w:sz w:val="17"/>
        </w:rPr>
        <w:t>csv_column</w:t>
      </w:r>
      <w:r>
        <w:rPr>
          <w:b w:val="0"/>
          <w:i w:val="0"/>
        </w:rPr>
        <w:t>，要求该列每个单元格均为有限数值。空序列、缺少指定列或无效数值会终止载入。自动选列若得到至少三个连续递增整数且步长为一，则要求显式声明列名。</w:t>
      </w:r>
    </w:p>
    <w:p>
      <w:r>
        <w:rPr>
          <w:b w:val="0"/>
          <w:i w:val="0"/>
        </w:rPr>
        <w:t xml:space="preserve">表头和列名的推断依据文件内容。声明的 </w:t>
      </w:r>
      <w:r>
        <w:rPr>
          <w:rFonts w:ascii="DejaVu Sans Mono" w:hAnsi="DejaVu Sans Mono"/>
          <w:b w:val="0"/>
          <w:i w:val="0"/>
          <w:sz w:val="17"/>
        </w:rPr>
        <w:t>csv_header</w:t>
      </w:r>
      <w:r>
        <w:rPr>
          <w:b w:val="0"/>
          <w:i w:val="0"/>
        </w:rPr>
        <w:t xml:space="preserve"> 优先；其余情况下，首行至少有一个非空单元格且所有非空单元格均为非数值时，将该行作为表头。缺少 </w:t>
      </w:r>
      <w:r>
        <w:rPr>
          <w:rFonts w:ascii="DejaVu Sans Mono" w:hAnsi="DejaVu Sans Mono"/>
          <w:b w:val="0"/>
          <w:i w:val="0"/>
          <w:sz w:val="17"/>
        </w:rPr>
        <w:t>csv_column</w:t>
      </w:r>
      <w:r>
        <w:rPr>
          <w:b w:val="0"/>
          <w:i w:val="0"/>
        </w:rPr>
        <w:t xml:space="preserve"> 时，严格读取选择唯一的全数值列；多列全为数值时要求指定其中一列。用户工作区读取在多列情形下选择第一列全数值列，声明列名后由该声明确定选择。</w:t>
      </w:r>
    </w:p>
    <w:p>
      <w:r>
        <w:rPr>
          <w:b w:val="0"/>
          <w:i w:val="0"/>
        </w:rPr>
        <w:t>逐时输入先展开，再截取运行所需窗口。</w:t>
      </w:r>
      <w:r>
        <w:rPr>
          <w:rFonts w:ascii="DejaVu Sans Mono" w:hAnsi="DejaVu Sans Mono"/>
          <w:b w:val="0"/>
          <w:i w:val="0"/>
          <w:sz w:val="17"/>
        </w:rPr>
        <w:t>align_clock</w:t>
      </w:r>
      <w:r>
        <w:rPr>
          <w:b w:val="0"/>
          <w:i w:val="0"/>
        </w:rPr>
        <w:t xml:space="preserve"> 对 </w:t>
      </w:r>
      <w:r>
        <w:rPr>
          <w:rFonts w:ascii="DejaVu Sans Mono" w:hAnsi="DejaVu Sans Mono"/>
          <w:b w:val="0"/>
          <w:i w:val="0"/>
          <w:sz w:val="17"/>
        </w:rPr>
        <w:t>interval_minutes=60</w:t>
      </w:r>
      <w:r>
        <w:rPr>
          <w:b w:val="0"/>
          <w:i w:val="0"/>
        </w:rPr>
        <w:t xml:space="preserve"> 的输入将每个源值复制两次，对 </w:t>
      </w:r>
      <w:r>
        <w:rPr>
          <w:rFonts w:ascii="DejaVu Sans Mono" w:hAnsi="DejaVu Sans Mono"/>
          <w:b w:val="0"/>
          <w:i w:val="0"/>
          <w:sz w:val="17"/>
        </w:rPr>
        <w:t>interval_minutes=30</w:t>
      </w:r>
      <w:r>
        <w:rPr>
          <w:b w:val="0"/>
          <w:i w:val="0"/>
        </w:rPr>
        <w:t xml:space="preserve"> 的输入按每半小时一个值读取。缺少时间间隔声明时，8,760 或 8,784 个数值对应逐时年；其他声明分辨率会终止载入。逐时至半小时的转换执行一次。</w:t>
      </w:r>
    </w:p>
    <w:p>
      <w:pPr>
        <w:keepNext/>
      </w:pPr>
      <w:r>
        <w:rPr>
          <w:b w:val="0"/>
          <w:i w:val="0"/>
        </w:rPr>
        <w:t xml:space="preserve">闰年需求在 365 日日历上保留全年电量。逐时展开后的 17,568 时段年移除从 </w:t>
      </w:r>
      <w:r>
        <w:rPr>
          <w:rFonts w:ascii="DejaVu Sans Mono" w:hAnsi="DejaVu Sans Mono"/>
          <w:b w:val="0"/>
          <w:i w:val="0"/>
          <w:sz w:val="17"/>
        </w:rPr>
        <w:t>(31 + 28) * 48</w:t>
      </w:r>
      <w:r>
        <w:rPr>
          <w:b w:val="0"/>
          <w:i w:val="0"/>
        </w:rPr>
        <w:t xml:space="preserve"> 开始的 48 个值，即 2 月 29 日。</w:t>
      </w:r>
      <w:r>
        <w:rPr>
          <w:rFonts w:ascii="DejaVu Sans Mono" w:hAnsi="DejaVu Sans Mono"/>
          <w:b w:val="0"/>
          <w:i w:val="0"/>
          <w:sz w:val="17"/>
        </w:rPr>
        <w:t>normalize_​half_​hour_​year</w:t>
      </w:r>
      <w:r>
        <w:rPr>
          <w:b w:val="0"/>
          <w:i w:val="0"/>
        </w:rPr>
        <w:t xml:space="preserve"> 中，</w:t>
      </w:r>
      <w:r>
        <w:rPr>
          <w:rFonts w:ascii="DejaVu Sans Mono" w:hAnsi="DejaVu Sans Mono"/>
          <w:b w:val="0"/>
          <w:i w:val="0"/>
          <w:sz w:val="17"/>
        </w:rPr>
        <w:t>numbers</w:t>
      </w:r>
      <w:r>
        <w:rPr>
          <w:b w:val="0"/>
          <w:i w:val="0"/>
        </w:rPr>
        <w:t xml:space="preserve"> 为源值，</w:t>
      </w:r>
      <w:r>
        <w:rPr>
          <w:rFonts w:ascii="DejaVu Sans Mono" w:hAnsi="DejaVu Sans Mono"/>
          <w:b w:val="0"/>
          <w:i w:val="0"/>
          <w:sz w:val="17"/>
        </w:rPr>
        <w:t>reduced</w:t>
      </w:r>
      <w:r>
        <w:rPr>
          <w:b w:val="0"/>
          <w:i w:val="0"/>
        </w:rPr>
        <w:t xml:space="preserve"> 为保留值；保留值之和为正时，</w:t>
      </w:r>
    </w:p>
    <w:p>
      <w:pPr>
        <w:spacing w:after="160"/>
        <w:jc w:val="center"/>
      </w:pPr>
      <w:r>
        <w:drawing>
          <wp:inline xmlns:a="http://schemas.openxmlformats.org/drawingml/2006/main" xmlns:pic="http://schemas.openxmlformats.org/drawingml/2006/picture">
            <wp:extent cx="6217920" cy="712353"/>
            <wp:docPr id="2" name="Picture 2"/>
            <wp:cNvGraphicFramePr>
              <a:graphicFrameLocks noChangeAspect="1"/>
            </wp:cNvGraphicFramePr>
            <a:graphic>
              <a:graphicData uri="http://schemas.openxmlformats.org/drawingml/2006/picture">
                <pic:pic>
                  <pic:nvPicPr>
                    <pic:cNvPr id="0" name="eq-002.png"/>
                    <pic:cNvPicPr/>
                  </pic:nvPicPr>
                  <pic:blipFill>
                    <a:blip r:embed="rId12"/>
                    <a:stretch>
                      <a:fillRect/>
                    </a:stretch>
                  </pic:blipFill>
                  <pic:spPr>
                    <a:xfrm>
                      <a:off x="0" y="0"/>
                      <a:ext cx="6217920" cy="712353"/>
                    </a:xfrm>
                    <a:prstGeom prst="rect"/>
                  </pic:spPr>
                </pic:pic>
              </a:graphicData>
            </a:graphic>
          </wp:inline>
        </w:drawing>
      </w:r>
    </w:p>
    <w:p>
      <w:r>
        <w:rPr>
          <w:b w:val="0"/>
          <w:i w:val="0"/>
        </w:rPr>
        <w:t xml:space="preserve">全零需求序列保持为零。保留值之和为零且原总量为正时，转换终止。其他时序角色移除相同的 48 个值并保留其余数值。显式设置 </w:t>
      </w:r>
      <w:r>
        <w:rPr>
          <w:rFonts w:ascii="DejaVu Sans Mono" w:hAnsi="DejaVu Sans Mono"/>
          <w:b w:val="0"/>
          <w:i w:val="0"/>
          <w:sz w:val="17"/>
        </w:rPr>
        <w:t>leap_policy="keep"</w:t>
      </w:r>
      <w:r>
        <w:rPr>
          <w:b w:val="0"/>
          <w:i w:val="0"/>
        </w:rPr>
        <w:t xml:space="preserve"> 时保留源日历，再取所需的前若干期。</w:t>
      </w:r>
    </w:p>
    <w:p>
      <w:r>
        <w:rPr>
          <w:b w:val="0"/>
          <w:i w:val="0"/>
        </w:rPr>
        <w:t xml:space="preserve">运行从足够长的对齐序列中取前 </w:t>
      </w:r>
      <w:r>
        <w:rPr>
          <w:rFonts w:ascii="DejaVu Sans Mono" w:hAnsi="DejaVu Sans Mono"/>
          <w:b w:val="0"/>
          <w:i w:val="0"/>
          <w:sz w:val="17"/>
        </w:rPr>
        <w:t>periods</w:t>
      </w:r>
      <w:r>
        <w:rPr>
          <w:b w:val="0"/>
          <w:i w:val="0"/>
        </w:rPr>
        <w:t xml:space="preserve"> 个值。较短的序列在 </w:t>
      </w:r>
      <w:r>
        <w:rPr>
          <w:rFonts w:ascii="DejaVu Sans Mono" w:hAnsi="DejaVu Sans Mono"/>
          <w:b w:val="0"/>
          <w:i w:val="0"/>
          <w:sz w:val="17"/>
        </w:rPr>
        <w:t>cyclic=true</w:t>
      </w:r>
      <w:r>
        <w:rPr>
          <w:b w:val="0"/>
          <w:i w:val="0"/>
        </w:rPr>
        <w:t xml:space="preserve"> 或该角色约定循环时从开头重复，外部市场流量和价格采用这一约定。严格数据包读取要求较短的需求或投资曲线显式声明循环；用户工作区读取按重复方式补足短序列。这组规则共同确定全年或部分年份运行实际使用的数值。</w:t>
      </w:r>
    </w:p>
    <w:p>
      <w:r>
        <w:rPr>
          <w:b w:val="0"/>
          <w:i w:val="0"/>
        </w:rPr>
        <w:t>下列步骤返回对齐序列。</w:t>
      </w:r>
      <w:r>
        <w:rPr>
          <w:rFonts w:ascii="DejaVu Sans Mono" w:hAnsi="DejaVu Sans Mono"/>
          <w:b w:val="0"/>
          <w:i w:val="0"/>
          <w:sz w:val="17"/>
        </w:rPr>
        <w:t>path</w:t>
      </w:r>
      <w:r>
        <w:rPr>
          <w:b w:val="0"/>
          <w:i w:val="0"/>
        </w:rPr>
        <w:t xml:space="preserve"> 为绑定文件，</w:t>
      </w:r>
      <w:r>
        <w:rPr>
          <w:rFonts w:ascii="DejaVu Sans Mono" w:hAnsi="DejaVu Sans Mono"/>
          <w:b w:val="0"/>
          <w:i w:val="0"/>
          <w:sz w:val="17"/>
        </w:rPr>
        <w:t>spec</w:t>
      </w:r>
      <w:r>
        <w:rPr>
          <w:b w:val="0"/>
          <w:i w:val="0"/>
        </w:rPr>
        <w:t xml:space="preserve"> 包含其声明，</w:t>
      </w:r>
      <w:r>
        <w:rPr>
          <w:rFonts w:ascii="DejaVu Sans Mono" w:hAnsi="DejaVu Sans Mono"/>
          <w:b w:val="0"/>
          <w:i w:val="0"/>
          <w:sz w:val="17"/>
        </w:rPr>
        <w:t>policy.strictness</w:t>
      </w:r>
      <w:r>
        <w:rPr>
          <w:b w:val="0"/>
          <w:i w:val="0"/>
        </w:rPr>
        <w:t xml:space="preserve"> 选择严格数据包读取或用户工作区读取，</w:t>
      </w:r>
      <w:r>
        <w:rPr>
          <w:rFonts w:ascii="DejaVu Sans Mono" w:hAnsi="DejaVu Sans Mono"/>
          <w:b w:val="0"/>
          <w:i w:val="0"/>
          <w:sz w:val="17"/>
        </w:rPr>
        <w:t>cyclic</w:t>
      </w:r>
      <w:r>
        <w:rPr>
          <w:b w:val="0"/>
          <w:i w:val="0"/>
        </w:rPr>
        <w:t xml:space="preserve"> 为角色的默认重复规则。</w:t>
      </w:r>
    </w:p>
    <w:p>
      <w:pPr>
        <w:keepLines/>
        <w:spacing w:line="276" w:lineRule="auto" w:after="160"/>
      </w:pPr>
      <w:r>
        <w:rPr>
          <w:rFonts w:ascii="DejaVu Sans Mono" w:hAnsi="DejaVu Sans Mono"/>
          <w:b w:val="0"/>
          <w:i w:val="0"/>
          <w:sz w:val="17"/>
        </w:rPr>
        <w:t>read = read_series(path, spec, mode="declared-v2", strictness=policy.strictness)</w:t>
        <w:br/>
        <w:t>values = align_​clock(read.values, periods, spec, mode="declared-v2",</w:t>
        <w:br/>
        <w:t xml:space="preserve">                     strictness=policy.strictness, cyclic_default=cyclic)</w:t>
        <w:br/>
        <w:t>return values</w:t>
        <w:br/>
      </w:r>
    </w:p>
    <w:p>
      <w:pPr>
        <w:pStyle w:val="Heading2"/>
      </w:pPr>
      <w:r>
        <w:rPr>
          <w:b w:val="0"/>
          <w:i w:val="0"/>
        </w:rPr>
        <w:t>观测需求与缺失结算时段</w:t>
      </w:r>
    </w:p>
    <w:p>
      <w:r>
        <w:rPr>
          <w:b w:val="0"/>
          <w:i w:val="0"/>
        </w:rPr>
        <w:t>英国需求形状采用 NESO 的 2022 年半小时实际需求及日前预测。UTC 预处理后，</w:t>
      </w:r>
      <w:r>
        <w:rPr>
          <w:rFonts w:ascii="DejaVu Sans Mono" w:hAnsi="DejaVu Sans Mono"/>
          <w:b w:val="0"/>
          <w:i w:val="0"/>
          <w:sz w:val="17"/>
        </w:rPr>
        <w:t>actual_mw.csv</w:t>
      </w:r>
      <w:r>
        <w:rPr>
          <w:b w:val="0"/>
          <w:i w:val="0"/>
        </w:rPr>
        <w:t xml:space="preserve"> 和 </w:t>
      </w:r>
      <w:r>
        <w:rPr>
          <w:rFonts w:ascii="DejaVu Sans Mono" w:hAnsi="DejaVu Sans Mono"/>
          <w:b w:val="0"/>
          <w:i w:val="0"/>
          <w:sz w:val="17"/>
        </w:rPr>
        <w:t>forecast_mw.csv</w:t>
      </w:r>
      <w:r>
        <w:rPr>
          <w:b w:val="0"/>
          <w:i w:val="0"/>
        </w:rPr>
        <w:t xml:space="preserve"> 各包含 17,520 个值；后续模型年依次重复使用这两条已对齐的 2022 年需求序列。功率统计与全年电量为</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03"/>
        <w:gridCol w:w="1927"/>
        <w:gridCol w:w="1927"/>
        <w:gridCol w:w="2118"/>
        <w:gridCol w:w="2118"/>
      </w:tblGrid>
      <w:tr>
        <w:trPr>
          <w:cantSplit/>
          <w:tblHeader w:val="true"/>
        </w:trPr>
        <w:tc>
          <w:tcPr>
            <w:tcW w:type="dxa" w:w="1703"/>
            <w:vAlign w:val="center"/>
            <w:tcMar>
              <w:top w:w="90" w:type="dxa"/>
              <w:left w:w="90" w:type="dxa"/>
              <w:bottom w:w="90" w:type="dxa"/>
              <w:right w:w="90" w:type="dxa"/>
            </w:tcMar>
            <w:shd w:fill="EEEEEE"/>
          </w:tcPr>
          <w:p>
            <w:pPr>
              <w:spacing w:after="40" w:line="276" w:lineRule="auto"/>
            </w:pPr>
            <w:r>
              <w:rPr>
                <w:b/>
                <w:i w:val="0"/>
                <w:sz w:val="18"/>
              </w:rPr>
              <w:t>序列</w:t>
            </w:r>
          </w:p>
        </w:tc>
        <w:tc>
          <w:tcPr>
            <w:tcW w:type="dxa" w:w="1927"/>
            <w:vAlign w:val="center"/>
            <w:tcMar>
              <w:top w:w="90" w:type="dxa"/>
              <w:left w:w="90" w:type="dxa"/>
              <w:bottom w:w="90" w:type="dxa"/>
              <w:right w:w="90" w:type="dxa"/>
            </w:tcMar>
            <w:shd w:fill="EEEEEE"/>
          </w:tcPr>
          <w:p>
            <w:pPr>
              <w:spacing w:after="40" w:line="276" w:lineRule="auto"/>
            </w:pPr>
            <w:r>
              <w:rPr>
                <w:b/>
                <w:i w:val="0"/>
                <w:sz w:val="18"/>
              </w:rPr>
              <w:t>最小功率 MW</w:t>
            </w:r>
          </w:p>
        </w:tc>
        <w:tc>
          <w:tcPr>
            <w:tcW w:type="dxa" w:w="1927"/>
            <w:vAlign w:val="center"/>
            <w:tcMar>
              <w:top w:w="90" w:type="dxa"/>
              <w:left w:w="90" w:type="dxa"/>
              <w:bottom w:w="90" w:type="dxa"/>
              <w:right w:w="90" w:type="dxa"/>
            </w:tcMar>
            <w:shd w:fill="EEEEEE"/>
          </w:tcPr>
          <w:p>
            <w:pPr>
              <w:spacing w:after="40" w:line="276" w:lineRule="auto"/>
            </w:pPr>
            <w:r>
              <w:rPr>
                <w:b/>
                <w:i w:val="0"/>
                <w:sz w:val="18"/>
              </w:rPr>
              <w:t>最大功率 MW</w:t>
            </w:r>
          </w:p>
        </w:tc>
        <w:tc>
          <w:tcPr>
            <w:tcW w:type="dxa" w:w="2118"/>
            <w:vAlign w:val="center"/>
            <w:tcMar>
              <w:top w:w="90" w:type="dxa"/>
              <w:left w:w="90" w:type="dxa"/>
              <w:bottom w:w="90" w:type="dxa"/>
              <w:right w:w="90" w:type="dxa"/>
            </w:tcMar>
            <w:shd w:fill="EEEEEE"/>
          </w:tcPr>
          <w:p>
            <w:pPr>
              <w:spacing w:after="40" w:line="276" w:lineRule="auto"/>
            </w:pPr>
            <w:r>
              <w:rPr>
                <w:b/>
                <w:i w:val="0"/>
                <w:sz w:val="18"/>
              </w:rPr>
              <w:t>平均功率 MW</w:t>
            </w:r>
          </w:p>
        </w:tc>
        <w:tc>
          <w:tcPr>
            <w:tcW w:type="dxa" w:w="2118"/>
            <w:vAlign w:val="center"/>
            <w:tcMar>
              <w:top w:w="90" w:type="dxa"/>
              <w:left w:w="90" w:type="dxa"/>
              <w:bottom w:w="90" w:type="dxa"/>
              <w:right w:w="90" w:type="dxa"/>
            </w:tcMar>
            <w:shd w:fill="EEEEEE"/>
          </w:tcPr>
          <w:p>
            <w:pPr>
              <w:spacing w:after="40" w:line="276" w:lineRule="auto"/>
            </w:pPr>
            <w:r>
              <w:rPr>
                <w:b/>
                <w:i w:val="0"/>
                <w:sz w:val="18"/>
              </w:rPr>
              <w:t>年电量 MWh</w:t>
            </w:r>
          </w:p>
        </w:tc>
      </w:tr>
      <w:tr>
        <w:trPr>
          <w:cantSplit/>
        </w:trPr>
        <w:tc>
          <w:tcPr>
            <w:tcW w:type="dxa" w:w="1703"/>
            <w:vAlign w:val="center"/>
            <w:tcMar>
              <w:top w:w="90" w:type="dxa"/>
              <w:left w:w="90" w:type="dxa"/>
              <w:bottom w:w="90" w:type="dxa"/>
              <w:right w:w="90" w:type="dxa"/>
            </w:tcMar>
          </w:tcPr>
          <w:p>
            <w:pPr>
              <w:spacing w:after="40" w:line="276" w:lineRule="auto"/>
            </w:pPr>
            <w:r>
              <w:rPr>
                <w:b w:val="0"/>
                <w:i w:val="0"/>
                <w:sz w:val="18"/>
              </w:rPr>
              <w:t>实际需求</w:t>
            </w:r>
          </w:p>
        </w:tc>
        <w:tc>
          <w:tcPr>
            <w:tcW w:type="dxa" w:w="1927"/>
            <w:vAlign w:val="center"/>
            <w:tcMar>
              <w:top w:w="90" w:type="dxa"/>
              <w:left w:w="90" w:type="dxa"/>
              <w:bottom w:w="90" w:type="dxa"/>
              <w:right w:w="90" w:type="dxa"/>
            </w:tcMar>
          </w:tcPr>
          <w:p>
            <w:pPr>
              <w:spacing w:after="40" w:line="276" w:lineRule="auto"/>
            </w:pPr>
            <w:r>
              <w:rPr>
                <w:b w:val="0"/>
                <w:i w:val="0"/>
                <w:sz w:val="18"/>
              </w:rPr>
              <w:t>15,080</w:t>
            </w:r>
          </w:p>
        </w:tc>
        <w:tc>
          <w:tcPr>
            <w:tcW w:type="dxa" w:w="1927"/>
            <w:vAlign w:val="center"/>
            <w:tcMar>
              <w:top w:w="90" w:type="dxa"/>
              <w:left w:w="90" w:type="dxa"/>
              <w:bottom w:w="90" w:type="dxa"/>
              <w:right w:w="90" w:type="dxa"/>
            </w:tcMar>
          </w:tcPr>
          <w:p>
            <w:pPr>
              <w:spacing w:after="40" w:line="276" w:lineRule="auto"/>
            </w:pPr>
            <w:r>
              <w:rPr>
                <w:b w:val="0"/>
                <w:i w:val="0"/>
                <w:sz w:val="18"/>
              </w:rPr>
              <w:t>46,042</w:t>
            </w:r>
          </w:p>
        </w:tc>
        <w:tc>
          <w:tcPr>
            <w:tcW w:type="dxa" w:w="2118"/>
            <w:vAlign w:val="center"/>
            <w:tcMar>
              <w:top w:w="90" w:type="dxa"/>
              <w:left w:w="90" w:type="dxa"/>
              <w:bottom w:w="90" w:type="dxa"/>
              <w:right w:w="90" w:type="dxa"/>
            </w:tcMar>
          </w:tcPr>
          <w:p>
            <w:pPr>
              <w:spacing w:after="40" w:line="276" w:lineRule="auto"/>
            </w:pPr>
            <w:r>
              <w:rPr>
                <w:b w:val="0"/>
                <w:i w:val="0"/>
                <w:sz w:val="18"/>
              </w:rPr>
              <w:t>26,587.967637</w:t>
            </w:r>
          </w:p>
        </w:tc>
        <w:tc>
          <w:tcPr>
            <w:tcW w:type="dxa" w:w="2118"/>
            <w:vAlign w:val="center"/>
            <w:tcMar>
              <w:top w:w="90" w:type="dxa"/>
              <w:left w:w="90" w:type="dxa"/>
              <w:bottom w:w="90" w:type="dxa"/>
              <w:right w:w="90" w:type="dxa"/>
            </w:tcMar>
          </w:tcPr>
          <w:p>
            <w:pPr>
              <w:spacing w:after="40" w:line="276" w:lineRule="auto"/>
            </w:pPr>
            <w:r>
              <w:rPr>
                <w:b w:val="0"/>
                <w:i w:val="0"/>
                <w:sz w:val="18"/>
              </w:rPr>
              <w:t>232,910,596.5</w:t>
            </w:r>
          </w:p>
        </w:tc>
      </w:tr>
      <w:tr>
        <w:trPr>
          <w:cantSplit/>
        </w:trPr>
        <w:tc>
          <w:tcPr>
            <w:tcW w:type="dxa" w:w="1703"/>
            <w:vAlign w:val="center"/>
            <w:tcMar>
              <w:top w:w="90" w:type="dxa"/>
              <w:left w:w="90" w:type="dxa"/>
              <w:bottom w:w="90" w:type="dxa"/>
              <w:right w:w="90" w:type="dxa"/>
            </w:tcMar>
          </w:tcPr>
          <w:p>
            <w:pPr>
              <w:spacing w:after="40" w:line="276" w:lineRule="auto"/>
            </w:pPr>
            <w:r>
              <w:rPr>
                <w:b w:val="0"/>
                <w:i w:val="0"/>
                <w:sz w:val="18"/>
              </w:rPr>
              <w:t>日前预测</w:t>
            </w:r>
          </w:p>
        </w:tc>
        <w:tc>
          <w:tcPr>
            <w:tcW w:type="dxa" w:w="1927"/>
            <w:vAlign w:val="center"/>
            <w:tcMar>
              <w:top w:w="90" w:type="dxa"/>
              <w:left w:w="90" w:type="dxa"/>
              <w:bottom w:w="90" w:type="dxa"/>
              <w:right w:w="90" w:type="dxa"/>
            </w:tcMar>
          </w:tcPr>
          <w:p>
            <w:pPr>
              <w:spacing w:after="40" w:line="276" w:lineRule="auto"/>
            </w:pPr>
            <w:r>
              <w:rPr>
                <w:b w:val="0"/>
                <w:i w:val="0"/>
                <w:sz w:val="18"/>
              </w:rPr>
              <w:t>14,240</w:t>
            </w:r>
          </w:p>
        </w:tc>
        <w:tc>
          <w:tcPr>
            <w:tcW w:type="dxa" w:w="1927"/>
            <w:vAlign w:val="center"/>
            <w:tcMar>
              <w:top w:w="90" w:type="dxa"/>
              <w:left w:w="90" w:type="dxa"/>
              <w:bottom w:w="90" w:type="dxa"/>
              <w:right w:w="90" w:type="dxa"/>
            </w:tcMar>
          </w:tcPr>
          <w:p>
            <w:pPr>
              <w:spacing w:after="40" w:line="276" w:lineRule="auto"/>
            </w:pPr>
            <w:r>
              <w:rPr>
                <w:b w:val="0"/>
                <w:i w:val="0"/>
                <w:sz w:val="18"/>
              </w:rPr>
              <w:t>46,760</w:t>
            </w:r>
          </w:p>
        </w:tc>
        <w:tc>
          <w:tcPr>
            <w:tcW w:type="dxa" w:w="2118"/>
            <w:vAlign w:val="center"/>
            <w:tcMar>
              <w:top w:w="90" w:type="dxa"/>
              <w:left w:w="90" w:type="dxa"/>
              <w:bottom w:w="90" w:type="dxa"/>
              <w:right w:w="90" w:type="dxa"/>
            </w:tcMar>
          </w:tcPr>
          <w:p>
            <w:pPr>
              <w:spacing w:after="40" w:line="276" w:lineRule="auto"/>
            </w:pPr>
            <w:r>
              <w:rPr>
                <w:b w:val="0"/>
                <w:i w:val="0"/>
                <w:sz w:val="18"/>
              </w:rPr>
              <w:t>26,611.131963</w:t>
            </w:r>
          </w:p>
        </w:tc>
        <w:tc>
          <w:tcPr>
            <w:tcW w:type="dxa" w:w="2118"/>
            <w:vAlign w:val="center"/>
            <w:tcMar>
              <w:top w:w="90" w:type="dxa"/>
              <w:left w:w="90" w:type="dxa"/>
              <w:bottom w:w="90" w:type="dxa"/>
              <w:right w:w="90" w:type="dxa"/>
            </w:tcMar>
          </w:tcPr>
          <w:p>
            <w:pPr>
              <w:spacing w:after="40" w:line="276" w:lineRule="auto"/>
            </w:pPr>
            <w:r>
              <w:rPr>
                <w:b w:val="0"/>
                <w:i w:val="0"/>
                <w:sz w:val="18"/>
              </w:rPr>
              <w:t>233,113,516</w:t>
            </w:r>
          </w:p>
        </w:tc>
      </w:tr>
    </w:tbl>
    <w:p>
      <w:pPr>
        <w:spacing w:after="20"/>
      </w:pPr>
    </w:p>
    <w:p>
      <w:r>
        <w:rPr>
          <w:b w:val="0"/>
          <w:i w:val="0"/>
        </w:rPr>
        <w:t>需求预处理先合并结算记录，再插值补齐时段。对于同一结算日期和结算时段，按发布时间排序后取最新记录，发布时间相同时取最后一行；随后将英国本地结算时刻转换到 UTC 半小时时间轴。17,518 条源记录形成 17,516 个独立时段，留下四个半小时缺口。</w:t>
      </w:r>
    </w:p>
    <w:p>
      <w:r>
        <w:rPr>
          <w:b w:val="0"/>
          <w:i w:val="0"/>
        </w:rPr>
        <w:t>缺失需求由相邻已知值作线性插值。缺一期间取两个端点的均值；连续缺两期间，依次在前一值上加端点差值的三分之一、三分之二。2022 年输入的四个补值均位于 10 月 30 日：</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99"/>
        <w:gridCol w:w="3146"/>
        <w:gridCol w:w="3146"/>
      </w:tblGrid>
      <w:tr>
        <w:trPr>
          <w:cantSplit/>
          <w:tblHeader w:val="true"/>
        </w:trPr>
        <w:tc>
          <w:tcPr>
            <w:tcW w:type="dxa" w:w="3499"/>
            <w:vAlign w:val="center"/>
            <w:tcMar>
              <w:top w:w="90" w:type="dxa"/>
              <w:left w:w="90" w:type="dxa"/>
              <w:bottom w:w="90" w:type="dxa"/>
              <w:right w:w="90" w:type="dxa"/>
            </w:tcMar>
            <w:shd w:fill="EEEEEE"/>
          </w:tcPr>
          <w:p>
            <w:pPr>
              <w:spacing w:after="40" w:line="276" w:lineRule="auto"/>
            </w:pPr>
            <w:r>
              <w:rPr>
                <w:b/>
                <w:i w:val="0"/>
                <w:sz w:val="18"/>
              </w:rPr>
              <w:t>UTC 时刻</w:t>
            </w:r>
          </w:p>
        </w:tc>
        <w:tc>
          <w:tcPr>
            <w:tcW w:type="dxa" w:w="3146"/>
            <w:vAlign w:val="center"/>
            <w:tcMar>
              <w:top w:w="90" w:type="dxa"/>
              <w:left w:w="90" w:type="dxa"/>
              <w:bottom w:w="90" w:type="dxa"/>
              <w:right w:w="90" w:type="dxa"/>
            </w:tcMar>
            <w:shd w:fill="EEEEEE"/>
          </w:tcPr>
          <w:p>
            <w:pPr>
              <w:spacing w:after="40" w:line="276" w:lineRule="auto"/>
            </w:pPr>
            <w:r>
              <w:rPr>
                <w:b/>
                <w:i w:val="0"/>
                <w:sz w:val="18"/>
              </w:rPr>
              <w:t>预测需求 MW</w:t>
            </w:r>
          </w:p>
        </w:tc>
        <w:tc>
          <w:tcPr>
            <w:tcW w:type="dxa" w:w="3146"/>
            <w:vAlign w:val="center"/>
            <w:tcMar>
              <w:top w:w="90" w:type="dxa"/>
              <w:left w:w="90" w:type="dxa"/>
              <w:bottom w:w="90" w:type="dxa"/>
              <w:right w:w="90" w:type="dxa"/>
            </w:tcMar>
            <w:shd w:fill="EEEEEE"/>
          </w:tcPr>
          <w:p>
            <w:pPr>
              <w:spacing w:after="40" w:line="276" w:lineRule="auto"/>
            </w:pPr>
            <w:r>
              <w:rPr>
                <w:b/>
                <w:i w:val="0"/>
                <w:sz w:val="18"/>
              </w:rPr>
              <w:t>实际需求 MW</w:t>
            </w:r>
          </w:p>
        </w:tc>
      </w:tr>
      <w:tr>
        <w:trPr>
          <w:cantSplit/>
        </w:trPr>
        <w:tc>
          <w:tcPr>
            <w:tcW w:type="dxa" w:w="3499"/>
            <w:vAlign w:val="center"/>
            <w:tcMar>
              <w:top w:w="90" w:type="dxa"/>
              <w:left w:w="90" w:type="dxa"/>
              <w:bottom w:w="90" w:type="dxa"/>
              <w:right w:w="90" w:type="dxa"/>
            </w:tcMar>
          </w:tcPr>
          <w:p>
            <w:pPr>
              <w:spacing w:after="40" w:line="276" w:lineRule="auto"/>
            </w:pPr>
            <w:r>
              <w:rPr>
                <w:b w:val="0"/>
                <w:i w:val="0"/>
                <w:sz w:val="18"/>
              </w:rPr>
              <w:t>2022-10-30 09:00</w:t>
            </w:r>
          </w:p>
        </w:tc>
        <w:tc>
          <w:tcPr>
            <w:tcW w:type="dxa" w:w="3146"/>
            <w:vAlign w:val="center"/>
            <w:tcMar>
              <w:top w:w="90" w:type="dxa"/>
              <w:left w:w="90" w:type="dxa"/>
              <w:bottom w:w="90" w:type="dxa"/>
              <w:right w:w="90" w:type="dxa"/>
            </w:tcMar>
          </w:tcPr>
          <w:p>
            <w:pPr>
              <w:spacing w:after="40" w:line="276" w:lineRule="auto"/>
            </w:pPr>
            <w:r>
              <w:rPr>
                <w:b w:val="0"/>
                <w:i w:val="0"/>
                <w:sz w:val="18"/>
              </w:rPr>
              <w:t>22,638.666667</w:t>
            </w:r>
          </w:p>
        </w:tc>
        <w:tc>
          <w:tcPr>
            <w:tcW w:type="dxa" w:w="3146"/>
            <w:vAlign w:val="center"/>
            <w:tcMar>
              <w:top w:w="90" w:type="dxa"/>
              <w:left w:w="90" w:type="dxa"/>
              <w:bottom w:w="90" w:type="dxa"/>
              <w:right w:w="90" w:type="dxa"/>
            </w:tcMar>
          </w:tcPr>
          <w:p>
            <w:pPr>
              <w:spacing w:after="40" w:line="276" w:lineRule="auto"/>
            </w:pPr>
            <w:r>
              <w:rPr>
                <w:b w:val="0"/>
                <w:i w:val="0"/>
                <w:sz w:val="18"/>
              </w:rPr>
              <w:t>24,649</w:t>
            </w:r>
          </w:p>
        </w:tc>
      </w:tr>
      <w:tr>
        <w:trPr>
          <w:cantSplit/>
        </w:trPr>
        <w:tc>
          <w:tcPr>
            <w:tcW w:type="dxa" w:w="3499"/>
            <w:vAlign w:val="center"/>
            <w:tcMar>
              <w:top w:w="90" w:type="dxa"/>
              <w:left w:w="90" w:type="dxa"/>
              <w:bottom w:w="90" w:type="dxa"/>
              <w:right w:w="90" w:type="dxa"/>
            </w:tcMar>
          </w:tcPr>
          <w:p>
            <w:pPr>
              <w:spacing w:after="40" w:line="276" w:lineRule="auto"/>
            </w:pPr>
            <w:r>
              <w:rPr>
                <w:b w:val="0"/>
                <w:i w:val="0"/>
                <w:sz w:val="18"/>
              </w:rPr>
              <w:t>2022-10-30 09:30</w:t>
            </w:r>
          </w:p>
        </w:tc>
        <w:tc>
          <w:tcPr>
            <w:tcW w:type="dxa" w:w="3146"/>
            <w:vAlign w:val="center"/>
            <w:tcMar>
              <w:top w:w="90" w:type="dxa"/>
              <w:left w:w="90" w:type="dxa"/>
              <w:bottom w:w="90" w:type="dxa"/>
              <w:right w:w="90" w:type="dxa"/>
            </w:tcMar>
          </w:tcPr>
          <w:p>
            <w:pPr>
              <w:spacing w:after="40" w:line="276" w:lineRule="auto"/>
            </w:pPr>
            <w:r>
              <w:rPr>
                <w:b w:val="0"/>
                <w:i w:val="0"/>
                <w:sz w:val="18"/>
              </w:rPr>
              <w:t>22,899.333333</w:t>
            </w:r>
          </w:p>
        </w:tc>
        <w:tc>
          <w:tcPr>
            <w:tcW w:type="dxa" w:w="3146"/>
            <w:vAlign w:val="center"/>
            <w:tcMar>
              <w:top w:w="90" w:type="dxa"/>
              <w:left w:w="90" w:type="dxa"/>
              <w:bottom w:w="90" w:type="dxa"/>
              <w:right w:w="90" w:type="dxa"/>
            </w:tcMar>
          </w:tcPr>
          <w:p>
            <w:pPr>
              <w:spacing w:after="40" w:line="276" w:lineRule="auto"/>
            </w:pPr>
            <w:r>
              <w:rPr>
                <w:b w:val="0"/>
                <w:i w:val="0"/>
                <w:sz w:val="18"/>
              </w:rPr>
              <w:t>24,727</w:t>
            </w:r>
          </w:p>
        </w:tc>
      </w:tr>
      <w:tr>
        <w:trPr>
          <w:cantSplit/>
        </w:trPr>
        <w:tc>
          <w:tcPr>
            <w:tcW w:type="dxa" w:w="3499"/>
            <w:vAlign w:val="center"/>
            <w:tcMar>
              <w:top w:w="90" w:type="dxa"/>
              <w:left w:w="90" w:type="dxa"/>
              <w:bottom w:w="90" w:type="dxa"/>
              <w:right w:w="90" w:type="dxa"/>
            </w:tcMar>
          </w:tcPr>
          <w:p>
            <w:pPr>
              <w:spacing w:after="40" w:line="276" w:lineRule="auto"/>
            </w:pPr>
            <w:r>
              <w:rPr>
                <w:b w:val="0"/>
                <w:i w:val="0"/>
                <w:sz w:val="18"/>
              </w:rPr>
              <w:t>2022-10-30 23:00</w:t>
            </w:r>
          </w:p>
        </w:tc>
        <w:tc>
          <w:tcPr>
            <w:tcW w:type="dxa" w:w="3146"/>
            <w:vAlign w:val="center"/>
            <w:tcMar>
              <w:top w:w="90" w:type="dxa"/>
              <w:left w:w="90" w:type="dxa"/>
              <w:bottom w:w="90" w:type="dxa"/>
              <w:right w:w="90" w:type="dxa"/>
            </w:tcMar>
          </w:tcPr>
          <w:p>
            <w:pPr>
              <w:spacing w:after="40" w:line="276" w:lineRule="auto"/>
            </w:pPr>
            <w:r>
              <w:rPr>
                <w:b w:val="0"/>
                <w:i w:val="0"/>
                <w:sz w:val="18"/>
              </w:rPr>
              <w:t>19,063.333333</w:t>
            </w:r>
          </w:p>
        </w:tc>
        <w:tc>
          <w:tcPr>
            <w:tcW w:type="dxa" w:w="3146"/>
            <w:vAlign w:val="center"/>
            <w:tcMar>
              <w:top w:w="90" w:type="dxa"/>
              <w:left w:w="90" w:type="dxa"/>
              <w:bottom w:w="90" w:type="dxa"/>
              <w:right w:w="90" w:type="dxa"/>
            </w:tcMar>
          </w:tcPr>
          <w:p>
            <w:pPr>
              <w:spacing w:after="40" w:line="276" w:lineRule="auto"/>
            </w:pPr>
            <w:r>
              <w:rPr>
                <w:b w:val="0"/>
                <w:i w:val="0"/>
                <w:sz w:val="18"/>
              </w:rPr>
              <w:t>20,494.666667</w:t>
            </w:r>
          </w:p>
        </w:tc>
      </w:tr>
      <w:tr>
        <w:trPr>
          <w:cantSplit/>
        </w:trPr>
        <w:tc>
          <w:tcPr>
            <w:tcW w:type="dxa" w:w="3499"/>
            <w:vAlign w:val="center"/>
            <w:tcMar>
              <w:top w:w="90" w:type="dxa"/>
              <w:left w:w="90" w:type="dxa"/>
              <w:bottom w:w="90" w:type="dxa"/>
              <w:right w:w="90" w:type="dxa"/>
            </w:tcMar>
          </w:tcPr>
          <w:p>
            <w:pPr>
              <w:spacing w:after="40" w:line="276" w:lineRule="auto"/>
            </w:pPr>
            <w:r>
              <w:rPr>
                <w:b w:val="0"/>
                <w:i w:val="0"/>
                <w:sz w:val="18"/>
              </w:rPr>
              <w:t>2022-10-30 23:30</w:t>
            </w:r>
          </w:p>
        </w:tc>
        <w:tc>
          <w:tcPr>
            <w:tcW w:type="dxa" w:w="3146"/>
            <w:vAlign w:val="center"/>
            <w:tcMar>
              <w:top w:w="90" w:type="dxa"/>
              <w:left w:w="90" w:type="dxa"/>
              <w:bottom w:w="90" w:type="dxa"/>
              <w:right w:w="90" w:type="dxa"/>
            </w:tcMar>
          </w:tcPr>
          <w:p>
            <w:pPr>
              <w:spacing w:after="40" w:line="276" w:lineRule="auto"/>
            </w:pPr>
            <w:r>
              <w:rPr>
                <w:b w:val="0"/>
                <w:i w:val="0"/>
                <w:sz w:val="18"/>
              </w:rPr>
              <w:t>19,086.666667</w:t>
            </w:r>
          </w:p>
        </w:tc>
        <w:tc>
          <w:tcPr>
            <w:tcW w:type="dxa" w:w="3146"/>
            <w:vAlign w:val="center"/>
            <w:tcMar>
              <w:top w:w="90" w:type="dxa"/>
              <w:left w:w="90" w:type="dxa"/>
              <w:bottom w:w="90" w:type="dxa"/>
              <w:right w:w="90" w:type="dxa"/>
            </w:tcMar>
          </w:tcPr>
          <w:p>
            <w:pPr>
              <w:spacing w:after="40" w:line="276" w:lineRule="auto"/>
            </w:pPr>
            <w:r>
              <w:rPr>
                <w:b w:val="0"/>
                <w:i w:val="0"/>
                <w:sz w:val="18"/>
              </w:rPr>
              <w:t>19,689.333333</w:t>
            </w:r>
          </w:p>
        </w:tc>
      </w:tr>
    </w:tbl>
    <w:p>
      <w:pPr>
        <w:spacing w:after="20"/>
      </w:pPr>
    </w:p>
    <w:p>
      <w:r>
        <w:rPr>
          <w:b w:val="0"/>
          <w:i w:val="0"/>
        </w:rPr>
        <w:t>用户需求时间戳先转换为 UTC，再进入相同的模型年对齐。映射接受 UTC 或 Europe/London 时区，以及声明的 DD/MM/YYYY 或 MM/DD/YYYY 日期顺序。时间戳须严格递增并具有规则的 30 或 60 分钟步长；重复、无法解析的日期和时间缺口会终止映射。转换后的行序从各模型年 1 月 1 日 00:00 UTC 起排列，保留输入中星期和节假日效应的先后顺序。</w:t>
      </w:r>
    </w:p>
    <w:p>
      <w:pPr>
        <w:pStyle w:val="Heading2"/>
      </w:pPr>
      <w:r>
        <w:rPr>
          <w:b w:val="0"/>
          <w:i w:val="0"/>
        </w:rPr>
        <w:t>初始运行资产</w:t>
      </w:r>
    </w:p>
    <w:p>
      <w:r>
        <w:rPr>
          <w:b w:val="0"/>
          <w:i w:val="0"/>
        </w:rPr>
        <w:t>初始风光和电池装机取自 DESNZ《Renewable Energy Planning Database》2025 年第二季度、7 月发布版本。原表含 12,977 个项目和 53 个字段，经过技术及正容量筛选后形成 10,653 行、14 个字段。</w:t>
      </w:r>
      <w:r>
        <w:rPr>
          <w:rFonts w:ascii="DejaVu Sans Mono" w:hAnsi="DejaVu Sans Mono"/>
          <w:b w:val="0"/>
          <w:i w:val="0"/>
          <w:sz w:val="17"/>
        </w:rPr>
        <w:t>normalize_repd</w:t>
      </w:r>
      <w:r>
        <w:rPr>
          <w:b w:val="0"/>
          <w:i w:val="0"/>
        </w:rPr>
        <w:t xml:space="preserve"> 保留陆风、海风、光伏、电池和气电，将 </w:t>
      </w:r>
      <w:r>
        <w:rPr>
          <w:rFonts w:ascii="DejaVu Sans Mono" w:hAnsi="DejaVu Sans Mono"/>
          <w:b w:val="0"/>
          <w:i w:val="0"/>
          <w:sz w:val="17"/>
        </w:rPr>
        <w:t>capacity_mw</w:t>
      </w:r>
      <w:r>
        <w:rPr>
          <w:b w:val="0"/>
          <w:i w:val="0"/>
        </w:rPr>
        <w:t>、</w:t>
      </w:r>
      <w:r>
        <w:rPr>
          <w:rFonts w:ascii="DejaVu Sans Mono" w:hAnsi="DejaVu Sans Mono"/>
          <w:b w:val="0"/>
          <w:i w:val="0"/>
          <w:sz w:val="17"/>
        </w:rPr>
        <w:t>x_coordinate</w:t>
      </w:r>
      <w:r>
        <w:rPr>
          <w:b w:val="0"/>
          <w:i w:val="0"/>
        </w:rPr>
        <w:t>、</w:t>
      </w:r>
      <w:r>
        <w:rPr>
          <w:rFonts w:ascii="DejaVu Sans Mono" w:hAnsi="DejaVu Sans Mono"/>
          <w:b w:val="0"/>
          <w:i w:val="0"/>
          <w:sz w:val="17"/>
        </w:rPr>
        <w:t>y_coordinate</w:t>
      </w:r>
      <w:r>
        <w:rPr>
          <w:b w:val="0"/>
          <w:i w:val="0"/>
        </w:rPr>
        <w:t xml:space="preserve"> 转换为数值，转换失败的值记为缺失。</w:t>
      </w:r>
    </w:p>
    <w:p>
      <w:r>
        <w:rPr>
          <w:b w:val="0"/>
          <w:i w:val="0"/>
        </w:rPr>
        <w:t xml:space="preserve">规范化项目表保存日期与位置筛选需要的信息。字段为 </w:t>
      </w:r>
      <w:r>
        <w:rPr>
          <w:rFonts w:ascii="DejaVu Sans Mono" w:hAnsi="DejaVu Sans Mono"/>
          <w:b w:val="0"/>
          <w:i w:val="0"/>
          <w:sz w:val="17"/>
        </w:rPr>
        <w:t>project_id</w:t>
      </w:r>
      <w:r>
        <w:rPr>
          <w:b w:val="0"/>
          <w:i w:val="0"/>
        </w:rPr>
        <w:t>、</w:t>
      </w:r>
      <w:r>
        <w:rPr>
          <w:rFonts w:ascii="DejaVu Sans Mono" w:hAnsi="DejaVu Sans Mono"/>
          <w:b w:val="0"/>
          <w:i w:val="0"/>
          <w:sz w:val="17"/>
        </w:rPr>
        <w:t>site_name</w:t>
      </w:r>
      <w:r>
        <w:rPr>
          <w:b w:val="0"/>
          <w:i w:val="0"/>
        </w:rPr>
        <w:t>、</w:t>
      </w:r>
      <w:r>
        <w:rPr>
          <w:rFonts w:ascii="DejaVu Sans Mono" w:hAnsi="DejaVu Sans Mono"/>
          <w:b w:val="0"/>
          <w:i w:val="0"/>
          <w:sz w:val="17"/>
        </w:rPr>
        <w:t>technology</w:t>
      </w:r>
      <w:r>
        <w:rPr>
          <w:b w:val="0"/>
          <w:i w:val="0"/>
        </w:rPr>
        <w:t>、</w:t>
      </w:r>
      <w:r>
        <w:rPr>
          <w:rFonts w:ascii="DejaVu Sans Mono" w:hAnsi="DejaVu Sans Mono"/>
          <w:b w:val="0"/>
          <w:i w:val="0"/>
          <w:sz w:val="17"/>
        </w:rPr>
        <w:t>technology_source</w:t>
      </w:r>
      <w:r>
        <w:rPr>
          <w:b w:val="0"/>
          <w:i w:val="0"/>
        </w:rPr>
        <w:t>、</w:t>
      </w:r>
      <w:r>
        <w:rPr>
          <w:rFonts w:ascii="DejaVu Sans Mono" w:hAnsi="DejaVu Sans Mono"/>
          <w:b w:val="0"/>
          <w:i w:val="0"/>
          <w:sz w:val="17"/>
        </w:rPr>
        <w:t>capacity_mw</w:t>
      </w:r>
      <w:r>
        <w:rPr>
          <w:b w:val="0"/>
          <w:i w:val="0"/>
        </w:rPr>
        <w:t>、</w:t>
      </w:r>
      <w:r>
        <w:rPr>
          <w:rFonts w:ascii="DejaVu Sans Mono" w:hAnsi="DejaVu Sans Mono"/>
          <w:b w:val="0"/>
          <w:i w:val="0"/>
          <w:sz w:val="17"/>
        </w:rPr>
        <w:t>development_status</w:t>
      </w:r>
      <w:r>
        <w:rPr>
          <w:b w:val="0"/>
          <w:i w:val="0"/>
        </w:rPr>
        <w:t>、</w:t>
      </w:r>
      <w:r>
        <w:rPr>
          <w:rFonts w:ascii="DejaVu Sans Mono" w:hAnsi="DejaVu Sans Mono"/>
          <w:b w:val="0"/>
          <w:i w:val="0"/>
          <w:sz w:val="17"/>
        </w:rPr>
        <w:t>region</w:t>
      </w:r>
      <w:r>
        <w:rPr>
          <w:b w:val="0"/>
          <w:i w:val="0"/>
        </w:rPr>
        <w:t>、</w:t>
      </w:r>
      <w:r>
        <w:rPr>
          <w:rFonts w:ascii="DejaVu Sans Mono" w:hAnsi="DejaVu Sans Mono"/>
          <w:b w:val="0"/>
          <w:i w:val="0"/>
          <w:sz w:val="17"/>
        </w:rPr>
        <w:t>country</w:t>
      </w:r>
      <w:r>
        <w:rPr>
          <w:b w:val="0"/>
          <w:i w:val="0"/>
        </w:rPr>
        <w:t>、</w:t>
      </w:r>
      <w:r>
        <w:rPr>
          <w:rFonts w:ascii="DejaVu Sans Mono" w:hAnsi="DejaVu Sans Mono"/>
          <w:b w:val="0"/>
          <w:i w:val="0"/>
          <w:sz w:val="17"/>
        </w:rPr>
        <w:t>planning_​application_​submitted</w:t>
      </w:r>
      <w:r>
        <w:rPr>
          <w:b w:val="0"/>
          <w:i w:val="0"/>
        </w:rPr>
        <w:t>、</w:t>
      </w:r>
      <w:r>
        <w:rPr>
          <w:rFonts w:ascii="DejaVu Sans Mono" w:hAnsi="DejaVu Sans Mono"/>
          <w:b w:val="0"/>
          <w:i w:val="0"/>
          <w:sz w:val="17"/>
        </w:rPr>
        <w:t>planning_​permission_​granted</w:t>
      </w:r>
      <w:r>
        <w:rPr>
          <w:b w:val="0"/>
          <w:i w:val="0"/>
        </w:rPr>
        <w:t>、</w:t>
      </w:r>
      <w:r>
        <w:rPr>
          <w:rFonts w:ascii="DejaVu Sans Mono" w:hAnsi="DejaVu Sans Mono"/>
          <w:b w:val="0"/>
          <w:i w:val="0"/>
          <w:sz w:val="17"/>
        </w:rPr>
        <w:t>under_construction</w:t>
      </w:r>
      <w:r>
        <w:rPr>
          <w:b w:val="0"/>
          <w:i w:val="0"/>
        </w:rPr>
        <w:t>、</w:t>
      </w:r>
      <w:r>
        <w:rPr>
          <w:rFonts w:ascii="DejaVu Sans Mono" w:hAnsi="DejaVu Sans Mono"/>
          <w:b w:val="0"/>
          <w:i w:val="0"/>
          <w:sz w:val="17"/>
        </w:rPr>
        <w:t>operational</w:t>
      </w:r>
      <w:r>
        <w:rPr>
          <w:b w:val="0"/>
          <w:i w:val="0"/>
        </w:rPr>
        <w:t>、</w:t>
      </w:r>
      <w:r>
        <w:rPr>
          <w:rFonts w:ascii="DejaVu Sans Mono" w:hAnsi="DejaVu Sans Mono"/>
          <w:b w:val="0"/>
          <w:i w:val="0"/>
          <w:sz w:val="17"/>
        </w:rPr>
        <w:t>x_coordinate</w:t>
      </w:r>
      <w:r>
        <w:rPr>
          <w:b w:val="0"/>
          <w:i w:val="0"/>
        </w:rPr>
        <w:t>、</w:t>
      </w:r>
      <w:r>
        <w:rPr>
          <w:rFonts w:ascii="DejaVu Sans Mono" w:hAnsi="DejaVu Sans Mono"/>
          <w:b w:val="0"/>
          <w:i w:val="0"/>
          <w:sz w:val="17"/>
        </w:rPr>
        <w:t>y_coordinate</w:t>
      </w:r>
      <w:r>
        <w:rPr>
          <w:b w:val="0"/>
          <w:i w:val="0"/>
        </w:rPr>
        <w:t>。日期字符串由资产和规划读取步骤继续解析。</w:t>
      </w:r>
    </w:p>
    <w:p>
      <w:r>
        <w:rPr>
          <w:b w:val="0"/>
          <w:i w:val="0"/>
        </w:rPr>
        <w:t xml:space="preserve">初始风光储项目须具有 </w:t>
      </w:r>
      <w:r>
        <w:rPr>
          <w:rFonts w:ascii="DejaVu Sans Mono" w:hAnsi="DejaVu Sans Mono"/>
          <w:b w:val="0"/>
          <w:i w:val="0"/>
          <w:sz w:val="17"/>
        </w:rPr>
        <w:t>Operational</w:t>
      </w:r>
      <w:r>
        <w:rPr>
          <w:b w:val="0"/>
          <w:i w:val="0"/>
        </w:rPr>
        <w:t xml:space="preserve"> 状态、早于或等于研究起始年的有效投运日期，以及正的 MW 装机。</w:t>
      </w:r>
      <w:r>
        <w:rPr>
          <w:rFonts w:ascii="DejaVu Sans Mono" w:hAnsi="DejaVu Sans Mono"/>
          <w:b w:val="0"/>
          <w:i w:val="0"/>
          <w:sz w:val="17"/>
        </w:rPr>
        <w:t>build_​repd_​operational_​snapshot</w:t>
      </w:r>
      <w:r>
        <w:rPr>
          <w:b w:val="0"/>
          <w:i w:val="0"/>
        </w:rPr>
        <w:t xml:space="preserve"> 按日优先顺序解析日期，跳过日期缺失或容量无效的记录。光伏与陆风首先采用第 3 章的地区至城市映射；剩余项目按坐标选择同技术最近的代表点，必要时将 OSGB 坐标由 EPSG:27700 转换为 EPSG:4326。地区和坐标均无法给出分配的项目，对映射后初始风光装机的贡献为零。</w:t>
      </w:r>
    </w:p>
    <w:p>
      <w:r>
        <w:rPr>
          <w:b w:val="0"/>
          <w:i w:val="0"/>
        </w:rPr>
        <w:t xml:space="preserve">初始电池 MW 按权重分配至抽蓄以外的储能条目。各条目的 </w:t>
      </w:r>
      <w:r>
        <w:rPr>
          <w:rFonts w:ascii="DejaVu Sans Mono" w:hAnsi="DejaVu Sans Mono"/>
          <w:b w:val="0"/>
          <w:i w:val="0"/>
          <w:sz w:val="17"/>
        </w:rPr>
        <w:t>weighted[asset_id]</w:t>
      </w:r>
      <w:r>
        <w:rPr>
          <w:b w:val="0"/>
          <w:i w:val="0"/>
        </w:rPr>
        <w:t xml:space="preserve"> 取其 </w:t>
      </w:r>
      <w:r>
        <w:rPr>
          <w:rFonts w:ascii="DejaVu Sans Mono" w:hAnsi="DejaVu Sans Mono"/>
          <w:b w:val="0"/>
          <w:i w:val="0"/>
          <w:sz w:val="17"/>
        </w:rPr>
        <w:t>pool_limit</w:t>
      </w:r>
      <w:r>
        <w:rPr>
          <w:b w:val="0"/>
          <w:i w:val="0"/>
        </w:rPr>
        <w:t xml:space="preserve"> 与 1 的较大值，</w:t>
      </w:r>
      <w:r>
        <w:rPr>
          <w:rFonts w:ascii="DejaVu Sans Mono" w:hAnsi="DejaVu Sans Mono"/>
          <w:b w:val="0"/>
          <w:i w:val="0"/>
          <w:sz w:val="17"/>
        </w:rPr>
        <w:t>weight_total</w:t>
      </w:r>
      <w:r>
        <w:rPr>
          <w:b w:val="0"/>
          <w:i w:val="0"/>
        </w:rPr>
        <w:t xml:space="preserve"> 为这些权重之和。</w:t>
      </w:r>
      <w:r>
        <w:rPr>
          <w:rFonts w:ascii="DejaVu Sans Mono" w:hAnsi="DejaVu Sans Mono"/>
          <w:b w:val="0"/>
          <w:i w:val="0"/>
          <w:sz w:val="17"/>
        </w:rPr>
        <w:t>native_initial_state</w:t>
      </w:r>
      <w:r>
        <w:rPr>
          <w:b w:val="0"/>
          <w:i w:val="0"/>
        </w:rPr>
        <w:t xml:space="preserve"> 按 </w:t>
      </w:r>
      <w:r>
        <w:rPr>
          <w:rFonts w:ascii="DejaVu Sans Mono" w:hAnsi="DejaVu Sans Mono"/>
          <w:b w:val="0"/>
          <w:i w:val="0"/>
          <w:sz w:val="17"/>
        </w:rPr>
        <w:t>capacity = operational_storage_mw * weighted[asset_id] / weight_total</w:t>
      </w:r>
      <w:r>
        <w:rPr>
          <w:b w:val="0"/>
          <w:i w:val="0"/>
        </w:rPr>
        <w:t xml:space="preserve"> 分配功率，再以 </w:t>
      </w:r>
      <w:r>
        <w:rPr>
          <w:rFonts w:ascii="DejaVu Sans Mono" w:hAnsi="DejaVu Sans Mono"/>
          <w:b w:val="0"/>
          <w:i w:val="0"/>
          <w:sz w:val="17"/>
        </w:rPr>
        <w:t>capacity * duration</w:t>
      </w:r>
      <w:r>
        <w:rPr>
          <w:b w:val="0"/>
          <w:i w:val="0"/>
        </w:rPr>
        <w:t xml:space="preserve"> 计算电量，其中 </w:t>
      </w:r>
      <w:r>
        <w:rPr>
          <w:rFonts w:ascii="DejaVu Sans Mono" w:hAnsi="DejaVu Sans Mono"/>
          <w:b w:val="0"/>
          <w:i w:val="0"/>
          <w:sz w:val="17"/>
        </w:rPr>
        <w:t>duration</w:t>
      </w:r>
      <w:r>
        <w:rPr>
          <w:b w:val="0"/>
          <w:i w:val="0"/>
        </w:rPr>
        <w:t xml:space="preserve"> 取技术目录的持续时间。2025 年抽蓄独立指定为 2,828 MW 和 26,700 MWh。</w:t>
      </w:r>
    </w:p>
    <w:p>
      <w:r>
        <w:rPr>
          <w:b w:val="0"/>
          <w:i w:val="0"/>
        </w:rPr>
        <w:t>R029 的 2025 年初始装机如下。其聚合核电可用率为 0.723，径流水电以 0.3487 乘以第 5 章的季节形状计算出力。GBP1 按电站计划选择核电机组，逐站可用率与退运规则也在第 5 章定义。</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21"/>
        <w:gridCol w:w="2005"/>
        <w:gridCol w:w="2483"/>
        <w:gridCol w:w="2483"/>
      </w:tblGrid>
      <w:tr>
        <w:trPr>
          <w:cantSplit/>
          <w:tblHeader w:val="true"/>
        </w:trPr>
        <w:tc>
          <w:tcPr>
            <w:tcW w:type="dxa" w:w="2821"/>
            <w:vAlign w:val="center"/>
            <w:tcMar>
              <w:top w:w="90" w:type="dxa"/>
              <w:left w:w="90" w:type="dxa"/>
              <w:bottom w:w="90" w:type="dxa"/>
              <w:right w:w="90" w:type="dxa"/>
            </w:tcMar>
            <w:shd w:fill="EEEEEE"/>
          </w:tcPr>
          <w:p>
            <w:pPr>
              <w:spacing w:after="40" w:line="276" w:lineRule="auto"/>
            </w:pPr>
            <w:r>
              <w:rPr>
                <w:b/>
                <w:i w:val="0"/>
                <w:sz w:val="18"/>
              </w:rPr>
              <w:t>技术</w:t>
            </w:r>
          </w:p>
        </w:tc>
        <w:tc>
          <w:tcPr>
            <w:tcW w:type="dxa" w:w="2005"/>
            <w:vAlign w:val="center"/>
            <w:tcMar>
              <w:top w:w="90" w:type="dxa"/>
              <w:left w:w="90" w:type="dxa"/>
              <w:bottom w:w="90" w:type="dxa"/>
              <w:right w:w="90" w:type="dxa"/>
            </w:tcMar>
            <w:shd w:fill="EEEEEE"/>
          </w:tcPr>
          <w:p>
            <w:pPr>
              <w:spacing w:after="40" w:line="276" w:lineRule="auto"/>
            </w:pPr>
            <w:r>
              <w:rPr>
                <w:b/>
                <w:i w:val="0"/>
                <w:sz w:val="18"/>
              </w:rPr>
              <w:t>资产行数</w:t>
            </w:r>
          </w:p>
        </w:tc>
        <w:tc>
          <w:tcPr>
            <w:tcW w:type="dxa" w:w="2483"/>
            <w:vAlign w:val="center"/>
            <w:tcMar>
              <w:top w:w="90" w:type="dxa"/>
              <w:left w:w="90" w:type="dxa"/>
              <w:bottom w:w="90" w:type="dxa"/>
              <w:right w:w="90" w:type="dxa"/>
            </w:tcMar>
            <w:shd w:fill="EEEEEE"/>
          </w:tcPr>
          <w:p>
            <w:pPr>
              <w:spacing w:after="40" w:line="276" w:lineRule="auto"/>
            </w:pPr>
            <w:r>
              <w:rPr>
                <w:b/>
                <w:i w:val="0"/>
                <w:sz w:val="18"/>
              </w:rPr>
              <w:t>功率 MW</w:t>
            </w:r>
          </w:p>
        </w:tc>
        <w:tc>
          <w:tcPr>
            <w:tcW w:type="dxa" w:w="2483"/>
            <w:vAlign w:val="center"/>
            <w:tcMar>
              <w:top w:w="90" w:type="dxa"/>
              <w:left w:w="90" w:type="dxa"/>
              <w:bottom w:w="90" w:type="dxa"/>
              <w:right w:w="90" w:type="dxa"/>
            </w:tcMar>
            <w:shd w:fill="EEEEEE"/>
          </w:tcPr>
          <w:p>
            <w:pPr>
              <w:spacing w:after="40" w:line="276" w:lineRule="auto"/>
            </w:pPr>
            <w:r>
              <w:rPr>
                <w:b/>
                <w:i w:val="0"/>
                <w:sz w:val="18"/>
              </w:rPr>
              <w:t>储能电量 MWh</w:t>
            </w:r>
          </w:p>
        </w:tc>
      </w:tr>
      <w:tr>
        <w:trPr>
          <w:cantSplit/>
        </w:trPr>
        <w:tc>
          <w:tcPr>
            <w:tcW w:type="dxa" w:w="2821"/>
            <w:vAlign w:val="center"/>
            <w:tcMar>
              <w:top w:w="90" w:type="dxa"/>
              <w:left w:w="90" w:type="dxa"/>
              <w:bottom w:w="90" w:type="dxa"/>
              <w:right w:w="90" w:type="dxa"/>
            </w:tcMar>
          </w:tcPr>
          <w:p>
            <w:pPr>
              <w:spacing w:after="40" w:line="276" w:lineRule="auto"/>
            </w:pPr>
            <w:r>
              <w:rPr>
                <w:b w:val="0"/>
                <w:i w:val="0"/>
                <w:sz w:val="18"/>
              </w:rPr>
              <w:t>联合循环燃气 CCGT</w:t>
            </w:r>
          </w:p>
        </w:tc>
        <w:tc>
          <w:tcPr>
            <w:tcW w:type="dxa" w:w="2005"/>
            <w:vAlign w:val="center"/>
            <w:tcMar>
              <w:top w:w="90" w:type="dxa"/>
              <w:left w:w="90" w:type="dxa"/>
              <w:bottom w:w="90" w:type="dxa"/>
              <w:right w:w="90" w:type="dxa"/>
            </w:tcMar>
          </w:tcPr>
          <w:p>
            <w:pPr>
              <w:spacing w:after="40" w:line="276" w:lineRule="auto"/>
            </w:pPr>
            <w:r>
              <w:rPr>
                <w:b w:val="0"/>
                <w:i w:val="0"/>
                <w:sz w:val="18"/>
              </w:rPr>
              <w:t>1</w:t>
            </w:r>
          </w:p>
        </w:tc>
        <w:tc>
          <w:tcPr>
            <w:tcW w:type="dxa" w:w="2483"/>
            <w:vAlign w:val="center"/>
            <w:tcMar>
              <w:top w:w="90" w:type="dxa"/>
              <w:left w:w="90" w:type="dxa"/>
              <w:bottom w:w="90" w:type="dxa"/>
              <w:right w:w="90" w:type="dxa"/>
            </w:tcMar>
          </w:tcPr>
          <w:p>
            <w:pPr>
              <w:spacing w:after="40" w:line="276" w:lineRule="auto"/>
            </w:pPr>
            <w:r>
              <w:rPr>
                <w:b w:val="0"/>
                <w:i w:val="0"/>
                <w:sz w:val="18"/>
              </w:rPr>
              <w:t>28,000</w:t>
            </w:r>
          </w:p>
        </w:tc>
        <w:tc>
          <w:tcPr>
            <w:tcW w:type="dxa" w:w="2483"/>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2821"/>
            <w:vAlign w:val="center"/>
            <w:tcMar>
              <w:top w:w="90" w:type="dxa"/>
              <w:left w:w="90" w:type="dxa"/>
              <w:bottom w:w="90" w:type="dxa"/>
              <w:right w:w="90" w:type="dxa"/>
            </w:tcMar>
          </w:tcPr>
          <w:p>
            <w:pPr>
              <w:spacing w:after="40" w:line="276" w:lineRule="auto"/>
            </w:pPr>
            <w:r>
              <w:rPr>
                <w:b w:val="0"/>
                <w:i w:val="0"/>
                <w:sz w:val="18"/>
              </w:rPr>
              <w:t>径流式水电</w:t>
            </w:r>
          </w:p>
        </w:tc>
        <w:tc>
          <w:tcPr>
            <w:tcW w:type="dxa" w:w="2005"/>
            <w:vAlign w:val="center"/>
            <w:tcMar>
              <w:top w:w="90" w:type="dxa"/>
              <w:left w:w="90" w:type="dxa"/>
              <w:bottom w:w="90" w:type="dxa"/>
              <w:right w:w="90" w:type="dxa"/>
            </w:tcMar>
          </w:tcPr>
          <w:p>
            <w:pPr>
              <w:spacing w:after="40" w:line="276" w:lineRule="auto"/>
            </w:pPr>
            <w:r>
              <w:rPr>
                <w:b w:val="0"/>
                <w:i w:val="0"/>
                <w:sz w:val="18"/>
              </w:rPr>
              <w:t>1</w:t>
            </w:r>
          </w:p>
        </w:tc>
        <w:tc>
          <w:tcPr>
            <w:tcW w:type="dxa" w:w="2483"/>
            <w:vAlign w:val="center"/>
            <w:tcMar>
              <w:top w:w="90" w:type="dxa"/>
              <w:left w:w="90" w:type="dxa"/>
              <w:bottom w:w="90" w:type="dxa"/>
              <w:right w:w="90" w:type="dxa"/>
            </w:tcMar>
          </w:tcPr>
          <w:p>
            <w:pPr>
              <w:spacing w:after="40" w:line="276" w:lineRule="auto"/>
            </w:pPr>
            <w:r>
              <w:rPr>
                <w:b w:val="0"/>
                <w:i w:val="0"/>
                <w:sz w:val="18"/>
              </w:rPr>
              <w:t>2,000</w:t>
            </w:r>
          </w:p>
        </w:tc>
        <w:tc>
          <w:tcPr>
            <w:tcW w:type="dxa" w:w="2483"/>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2821"/>
            <w:vAlign w:val="center"/>
            <w:tcMar>
              <w:top w:w="90" w:type="dxa"/>
              <w:left w:w="90" w:type="dxa"/>
              <w:bottom w:w="90" w:type="dxa"/>
              <w:right w:w="90" w:type="dxa"/>
            </w:tcMar>
          </w:tcPr>
          <w:p>
            <w:pPr>
              <w:spacing w:after="40" w:line="276" w:lineRule="auto"/>
            </w:pPr>
            <w:r>
              <w:rPr>
                <w:b w:val="0"/>
                <w:i w:val="0"/>
                <w:sz w:val="18"/>
              </w:rPr>
              <w:t>核电</w:t>
            </w:r>
          </w:p>
        </w:tc>
        <w:tc>
          <w:tcPr>
            <w:tcW w:type="dxa" w:w="2005"/>
            <w:vAlign w:val="center"/>
            <w:tcMar>
              <w:top w:w="90" w:type="dxa"/>
              <w:left w:w="90" w:type="dxa"/>
              <w:bottom w:w="90" w:type="dxa"/>
              <w:right w:w="90" w:type="dxa"/>
            </w:tcMar>
          </w:tcPr>
          <w:p>
            <w:pPr>
              <w:spacing w:after="40" w:line="276" w:lineRule="auto"/>
            </w:pPr>
            <w:r>
              <w:rPr>
                <w:b w:val="0"/>
                <w:i w:val="0"/>
                <w:sz w:val="18"/>
              </w:rPr>
              <w:t>1</w:t>
            </w:r>
          </w:p>
        </w:tc>
        <w:tc>
          <w:tcPr>
            <w:tcW w:type="dxa" w:w="2483"/>
            <w:vAlign w:val="center"/>
            <w:tcMar>
              <w:top w:w="90" w:type="dxa"/>
              <w:left w:w="90" w:type="dxa"/>
              <w:bottom w:w="90" w:type="dxa"/>
              <w:right w:w="90" w:type="dxa"/>
            </w:tcMar>
          </w:tcPr>
          <w:p>
            <w:pPr>
              <w:spacing w:after="40" w:line="276" w:lineRule="auto"/>
            </w:pPr>
            <w:r>
              <w:rPr>
                <w:b w:val="0"/>
                <w:i w:val="0"/>
                <w:sz w:val="18"/>
              </w:rPr>
              <w:t>5,958</w:t>
            </w:r>
          </w:p>
        </w:tc>
        <w:tc>
          <w:tcPr>
            <w:tcW w:type="dxa" w:w="2483"/>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2821"/>
            <w:vAlign w:val="center"/>
            <w:tcMar>
              <w:top w:w="90" w:type="dxa"/>
              <w:left w:w="90" w:type="dxa"/>
              <w:bottom w:w="90" w:type="dxa"/>
              <w:right w:w="90" w:type="dxa"/>
            </w:tcMar>
          </w:tcPr>
          <w:p>
            <w:pPr>
              <w:spacing w:after="40" w:line="276" w:lineRule="auto"/>
            </w:pPr>
            <w:r>
              <w:rPr>
                <w:b w:val="0"/>
                <w:i w:val="0"/>
                <w:sz w:val="18"/>
              </w:rPr>
              <w:t>开式循环燃气 OCGT</w:t>
            </w:r>
          </w:p>
        </w:tc>
        <w:tc>
          <w:tcPr>
            <w:tcW w:type="dxa" w:w="2005"/>
            <w:vAlign w:val="center"/>
            <w:tcMar>
              <w:top w:w="90" w:type="dxa"/>
              <w:left w:w="90" w:type="dxa"/>
              <w:bottom w:w="90" w:type="dxa"/>
              <w:right w:w="90" w:type="dxa"/>
            </w:tcMar>
          </w:tcPr>
          <w:p>
            <w:pPr>
              <w:spacing w:after="40" w:line="276" w:lineRule="auto"/>
            </w:pPr>
            <w:r>
              <w:rPr>
                <w:b w:val="0"/>
                <w:i w:val="0"/>
                <w:sz w:val="18"/>
              </w:rPr>
              <w:t>1</w:t>
            </w:r>
          </w:p>
        </w:tc>
        <w:tc>
          <w:tcPr>
            <w:tcW w:type="dxa" w:w="2483"/>
            <w:vAlign w:val="center"/>
            <w:tcMar>
              <w:top w:w="90" w:type="dxa"/>
              <w:left w:w="90" w:type="dxa"/>
              <w:bottom w:w="90" w:type="dxa"/>
              <w:right w:w="90" w:type="dxa"/>
            </w:tcMar>
          </w:tcPr>
          <w:p>
            <w:pPr>
              <w:spacing w:after="40" w:line="276" w:lineRule="auto"/>
            </w:pPr>
            <w:r>
              <w:rPr>
                <w:b w:val="0"/>
                <w:i w:val="0"/>
                <w:sz w:val="18"/>
              </w:rPr>
              <w:t>4,146</w:t>
            </w:r>
          </w:p>
        </w:tc>
        <w:tc>
          <w:tcPr>
            <w:tcW w:type="dxa" w:w="2483"/>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2821"/>
            <w:vAlign w:val="center"/>
            <w:tcMar>
              <w:top w:w="90" w:type="dxa"/>
              <w:left w:w="90" w:type="dxa"/>
              <w:bottom w:w="90" w:type="dxa"/>
              <w:right w:w="90" w:type="dxa"/>
            </w:tcMar>
          </w:tcPr>
          <w:p>
            <w:pPr>
              <w:spacing w:after="40" w:line="276" w:lineRule="auto"/>
            </w:pPr>
            <w:r>
              <w:rPr>
                <w:b w:val="0"/>
                <w:i w:val="0"/>
                <w:sz w:val="18"/>
              </w:rPr>
              <w:t>生物质与废弃物</w:t>
            </w:r>
          </w:p>
        </w:tc>
        <w:tc>
          <w:tcPr>
            <w:tcW w:type="dxa" w:w="2005"/>
            <w:vAlign w:val="center"/>
            <w:tcMar>
              <w:top w:w="90" w:type="dxa"/>
              <w:left w:w="90" w:type="dxa"/>
              <w:bottom w:w="90" w:type="dxa"/>
              <w:right w:w="90" w:type="dxa"/>
            </w:tcMar>
          </w:tcPr>
          <w:p>
            <w:pPr>
              <w:spacing w:after="40" w:line="276" w:lineRule="auto"/>
            </w:pPr>
            <w:r>
              <w:rPr>
                <w:b w:val="0"/>
                <w:i w:val="0"/>
                <w:sz w:val="18"/>
              </w:rPr>
              <w:t>1</w:t>
            </w:r>
          </w:p>
        </w:tc>
        <w:tc>
          <w:tcPr>
            <w:tcW w:type="dxa" w:w="2483"/>
            <w:vAlign w:val="center"/>
            <w:tcMar>
              <w:top w:w="90" w:type="dxa"/>
              <w:left w:w="90" w:type="dxa"/>
              <w:bottom w:w="90" w:type="dxa"/>
              <w:right w:w="90" w:type="dxa"/>
            </w:tcMar>
          </w:tcPr>
          <w:p>
            <w:pPr>
              <w:spacing w:after="40" w:line="276" w:lineRule="auto"/>
            </w:pPr>
            <w:r>
              <w:rPr>
                <w:b w:val="0"/>
                <w:i w:val="0"/>
                <w:sz w:val="18"/>
              </w:rPr>
              <w:t>4,762</w:t>
            </w:r>
          </w:p>
        </w:tc>
        <w:tc>
          <w:tcPr>
            <w:tcW w:type="dxa" w:w="2483"/>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2821"/>
            <w:vAlign w:val="center"/>
            <w:tcMar>
              <w:top w:w="90" w:type="dxa"/>
              <w:left w:w="90" w:type="dxa"/>
              <w:bottom w:w="90" w:type="dxa"/>
              <w:right w:w="90" w:type="dxa"/>
            </w:tcMar>
          </w:tcPr>
          <w:p>
            <w:pPr>
              <w:spacing w:after="40" w:line="276" w:lineRule="auto"/>
            </w:pPr>
            <w:r>
              <w:rPr>
                <w:b w:val="0"/>
                <w:i w:val="0"/>
                <w:sz w:val="18"/>
              </w:rPr>
              <w:t>海上风电</w:t>
            </w:r>
          </w:p>
        </w:tc>
        <w:tc>
          <w:tcPr>
            <w:tcW w:type="dxa" w:w="2005"/>
            <w:vAlign w:val="center"/>
            <w:tcMar>
              <w:top w:w="90" w:type="dxa"/>
              <w:left w:w="90" w:type="dxa"/>
              <w:bottom w:w="90" w:type="dxa"/>
              <w:right w:w="90" w:type="dxa"/>
            </w:tcMar>
          </w:tcPr>
          <w:p>
            <w:pPr>
              <w:spacing w:after="40" w:line="276" w:lineRule="auto"/>
            </w:pPr>
            <w:r>
              <w:rPr>
                <w:b w:val="0"/>
                <w:i w:val="0"/>
                <w:sz w:val="18"/>
              </w:rPr>
              <w:t>18</w:t>
            </w:r>
          </w:p>
        </w:tc>
        <w:tc>
          <w:tcPr>
            <w:tcW w:type="dxa" w:w="2483"/>
            <w:vAlign w:val="center"/>
            <w:tcMar>
              <w:top w:w="90" w:type="dxa"/>
              <w:left w:w="90" w:type="dxa"/>
              <w:bottom w:w="90" w:type="dxa"/>
              <w:right w:w="90" w:type="dxa"/>
            </w:tcMar>
          </w:tcPr>
          <w:p>
            <w:pPr>
              <w:spacing w:after="40" w:line="276" w:lineRule="auto"/>
            </w:pPr>
            <w:r>
              <w:rPr>
                <w:b w:val="0"/>
                <w:i w:val="0"/>
                <w:sz w:val="18"/>
              </w:rPr>
              <w:t>14,679</w:t>
            </w:r>
          </w:p>
        </w:tc>
        <w:tc>
          <w:tcPr>
            <w:tcW w:type="dxa" w:w="2483"/>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2821"/>
            <w:vAlign w:val="center"/>
            <w:tcMar>
              <w:top w:w="90" w:type="dxa"/>
              <w:left w:w="90" w:type="dxa"/>
              <w:bottom w:w="90" w:type="dxa"/>
              <w:right w:w="90" w:type="dxa"/>
            </w:tcMar>
          </w:tcPr>
          <w:p>
            <w:pPr>
              <w:spacing w:after="40" w:line="276" w:lineRule="auto"/>
            </w:pPr>
            <w:r>
              <w:rPr>
                <w:b w:val="0"/>
                <w:i w:val="0"/>
                <w:sz w:val="18"/>
              </w:rPr>
              <w:t>陆上风电</w:t>
            </w:r>
          </w:p>
        </w:tc>
        <w:tc>
          <w:tcPr>
            <w:tcW w:type="dxa" w:w="2005"/>
            <w:vAlign w:val="center"/>
            <w:tcMar>
              <w:top w:w="90" w:type="dxa"/>
              <w:left w:w="90" w:type="dxa"/>
              <w:bottom w:w="90" w:type="dxa"/>
              <w:right w:w="90" w:type="dxa"/>
            </w:tcMar>
          </w:tcPr>
          <w:p>
            <w:pPr>
              <w:spacing w:after="40" w:line="276" w:lineRule="auto"/>
            </w:pPr>
            <w:r>
              <w:rPr>
                <w:b w:val="0"/>
                <w:i w:val="0"/>
                <w:sz w:val="18"/>
              </w:rPr>
              <w:t>11</w:t>
            </w:r>
          </w:p>
        </w:tc>
        <w:tc>
          <w:tcPr>
            <w:tcW w:type="dxa" w:w="2483"/>
            <w:vAlign w:val="center"/>
            <w:tcMar>
              <w:top w:w="90" w:type="dxa"/>
              <w:left w:w="90" w:type="dxa"/>
              <w:bottom w:w="90" w:type="dxa"/>
              <w:right w:w="90" w:type="dxa"/>
            </w:tcMar>
          </w:tcPr>
          <w:p>
            <w:pPr>
              <w:spacing w:after="40" w:line="276" w:lineRule="auto"/>
            </w:pPr>
            <w:r>
              <w:rPr>
                <w:b w:val="0"/>
                <w:i w:val="0"/>
                <w:sz w:val="18"/>
              </w:rPr>
              <w:t>14,711.65</w:t>
            </w:r>
          </w:p>
        </w:tc>
        <w:tc>
          <w:tcPr>
            <w:tcW w:type="dxa" w:w="2483"/>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2821"/>
            <w:vAlign w:val="center"/>
            <w:tcMar>
              <w:top w:w="90" w:type="dxa"/>
              <w:left w:w="90" w:type="dxa"/>
              <w:bottom w:w="90" w:type="dxa"/>
              <w:right w:w="90" w:type="dxa"/>
            </w:tcMar>
          </w:tcPr>
          <w:p>
            <w:pPr>
              <w:spacing w:after="40" w:line="276" w:lineRule="auto"/>
            </w:pPr>
            <w:r>
              <w:rPr>
                <w:b w:val="0"/>
                <w:i w:val="0"/>
                <w:sz w:val="18"/>
              </w:rPr>
              <w:t>光伏</w:t>
            </w:r>
          </w:p>
        </w:tc>
        <w:tc>
          <w:tcPr>
            <w:tcW w:type="dxa" w:w="2005"/>
            <w:vAlign w:val="center"/>
            <w:tcMar>
              <w:top w:w="90" w:type="dxa"/>
              <w:left w:w="90" w:type="dxa"/>
              <w:bottom w:w="90" w:type="dxa"/>
              <w:right w:w="90" w:type="dxa"/>
            </w:tcMar>
          </w:tcPr>
          <w:p>
            <w:pPr>
              <w:spacing w:after="40" w:line="276" w:lineRule="auto"/>
            </w:pPr>
            <w:r>
              <w:rPr>
                <w:b w:val="0"/>
                <w:i w:val="0"/>
                <w:sz w:val="18"/>
              </w:rPr>
              <w:t>11</w:t>
            </w:r>
          </w:p>
        </w:tc>
        <w:tc>
          <w:tcPr>
            <w:tcW w:type="dxa" w:w="2483"/>
            <w:vAlign w:val="center"/>
            <w:tcMar>
              <w:top w:w="90" w:type="dxa"/>
              <w:left w:w="90" w:type="dxa"/>
              <w:bottom w:w="90" w:type="dxa"/>
              <w:right w:w="90" w:type="dxa"/>
            </w:tcMar>
          </w:tcPr>
          <w:p>
            <w:pPr>
              <w:spacing w:after="40" w:line="276" w:lineRule="auto"/>
            </w:pPr>
            <w:r>
              <w:rPr>
                <w:b w:val="0"/>
                <w:i w:val="0"/>
                <w:sz w:val="18"/>
              </w:rPr>
              <w:t>10,066.98</w:t>
            </w:r>
          </w:p>
        </w:tc>
        <w:tc>
          <w:tcPr>
            <w:tcW w:type="dxa" w:w="2483"/>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2821"/>
            <w:vAlign w:val="center"/>
            <w:tcMar>
              <w:top w:w="90" w:type="dxa"/>
              <w:left w:w="90" w:type="dxa"/>
              <w:bottom w:w="90" w:type="dxa"/>
              <w:right w:w="90" w:type="dxa"/>
            </w:tcMar>
          </w:tcPr>
          <w:p>
            <w:pPr>
              <w:spacing w:after="40" w:line="276" w:lineRule="auto"/>
            </w:pPr>
            <w:r>
              <w:rPr>
                <w:b w:val="0"/>
                <w:i w:val="0"/>
                <w:sz w:val="18"/>
              </w:rPr>
              <w:t>0.25C 电池</w:t>
            </w:r>
          </w:p>
        </w:tc>
        <w:tc>
          <w:tcPr>
            <w:tcW w:type="dxa" w:w="2005"/>
            <w:vAlign w:val="center"/>
            <w:tcMar>
              <w:top w:w="90" w:type="dxa"/>
              <w:left w:w="90" w:type="dxa"/>
              <w:bottom w:w="90" w:type="dxa"/>
              <w:right w:w="90" w:type="dxa"/>
            </w:tcMar>
          </w:tcPr>
          <w:p>
            <w:pPr>
              <w:spacing w:after="40" w:line="276" w:lineRule="auto"/>
            </w:pPr>
            <w:r>
              <w:rPr>
                <w:b w:val="0"/>
                <w:i w:val="0"/>
                <w:sz w:val="18"/>
              </w:rPr>
              <w:t>1</w:t>
            </w:r>
          </w:p>
        </w:tc>
        <w:tc>
          <w:tcPr>
            <w:tcW w:type="dxa" w:w="2483"/>
            <w:vAlign w:val="center"/>
            <w:tcMar>
              <w:top w:w="90" w:type="dxa"/>
              <w:left w:w="90" w:type="dxa"/>
              <w:bottom w:w="90" w:type="dxa"/>
              <w:right w:w="90" w:type="dxa"/>
            </w:tcMar>
          </w:tcPr>
          <w:p>
            <w:pPr>
              <w:spacing w:after="40" w:line="276" w:lineRule="auto"/>
            </w:pPr>
            <w:r>
              <w:rPr>
                <w:b w:val="0"/>
                <w:i w:val="0"/>
                <w:sz w:val="18"/>
              </w:rPr>
              <w:t>299.984165</w:t>
            </w:r>
          </w:p>
        </w:tc>
        <w:tc>
          <w:tcPr>
            <w:tcW w:type="dxa" w:w="2483"/>
            <w:vAlign w:val="center"/>
            <w:tcMar>
              <w:top w:w="90" w:type="dxa"/>
              <w:left w:w="90" w:type="dxa"/>
              <w:bottom w:w="90" w:type="dxa"/>
              <w:right w:w="90" w:type="dxa"/>
            </w:tcMar>
          </w:tcPr>
          <w:p>
            <w:pPr>
              <w:spacing w:after="40" w:line="276" w:lineRule="auto"/>
            </w:pPr>
            <w:r>
              <w:rPr>
                <w:b w:val="0"/>
                <w:i w:val="0"/>
                <w:sz w:val="18"/>
              </w:rPr>
              <w:t>1,199.936659</w:t>
            </w:r>
          </w:p>
        </w:tc>
      </w:tr>
      <w:tr>
        <w:trPr>
          <w:cantSplit/>
        </w:trPr>
        <w:tc>
          <w:tcPr>
            <w:tcW w:type="dxa" w:w="2821"/>
            <w:vAlign w:val="center"/>
            <w:tcMar>
              <w:top w:w="90" w:type="dxa"/>
              <w:left w:w="90" w:type="dxa"/>
              <w:bottom w:w="90" w:type="dxa"/>
              <w:right w:w="90" w:type="dxa"/>
            </w:tcMar>
          </w:tcPr>
          <w:p>
            <w:pPr>
              <w:spacing w:after="40" w:line="276" w:lineRule="auto"/>
            </w:pPr>
            <w:r>
              <w:rPr>
                <w:b w:val="0"/>
                <w:i w:val="0"/>
                <w:sz w:val="18"/>
              </w:rPr>
              <w:t>0.5C 电池</w:t>
            </w:r>
          </w:p>
        </w:tc>
        <w:tc>
          <w:tcPr>
            <w:tcW w:type="dxa" w:w="2005"/>
            <w:vAlign w:val="center"/>
            <w:tcMar>
              <w:top w:w="90" w:type="dxa"/>
              <w:left w:w="90" w:type="dxa"/>
              <w:bottom w:w="90" w:type="dxa"/>
              <w:right w:w="90" w:type="dxa"/>
            </w:tcMar>
          </w:tcPr>
          <w:p>
            <w:pPr>
              <w:spacing w:after="40" w:line="276" w:lineRule="auto"/>
            </w:pPr>
            <w:r>
              <w:rPr>
                <w:b w:val="0"/>
                <w:i w:val="0"/>
                <w:sz w:val="18"/>
              </w:rPr>
              <w:t>1</w:t>
            </w:r>
          </w:p>
        </w:tc>
        <w:tc>
          <w:tcPr>
            <w:tcW w:type="dxa" w:w="2483"/>
            <w:vAlign w:val="center"/>
            <w:tcMar>
              <w:top w:w="90" w:type="dxa"/>
              <w:left w:w="90" w:type="dxa"/>
              <w:bottom w:w="90" w:type="dxa"/>
              <w:right w:w="90" w:type="dxa"/>
            </w:tcMar>
          </w:tcPr>
          <w:p>
            <w:pPr>
              <w:spacing w:after="40" w:line="276" w:lineRule="auto"/>
            </w:pPr>
            <w:r>
              <w:rPr>
                <w:b w:val="0"/>
                <w:i w:val="0"/>
                <w:sz w:val="18"/>
              </w:rPr>
              <w:t>2,465.869834</w:t>
            </w:r>
          </w:p>
        </w:tc>
        <w:tc>
          <w:tcPr>
            <w:tcW w:type="dxa" w:w="2483"/>
            <w:vAlign w:val="center"/>
            <w:tcMar>
              <w:top w:w="90" w:type="dxa"/>
              <w:left w:w="90" w:type="dxa"/>
              <w:bottom w:w="90" w:type="dxa"/>
              <w:right w:w="90" w:type="dxa"/>
            </w:tcMar>
          </w:tcPr>
          <w:p>
            <w:pPr>
              <w:spacing w:after="40" w:line="276" w:lineRule="auto"/>
            </w:pPr>
            <w:r>
              <w:rPr>
                <w:b w:val="0"/>
                <w:i w:val="0"/>
                <w:sz w:val="18"/>
              </w:rPr>
              <w:t>4,931.739667</w:t>
            </w:r>
          </w:p>
        </w:tc>
      </w:tr>
      <w:tr>
        <w:trPr>
          <w:cantSplit/>
        </w:trPr>
        <w:tc>
          <w:tcPr>
            <w:tcW w:type="dxa" w:w="2821"/>
            <w:vAlign w:val="center"/>
            <w:tcMar>
              <w:top w:w="90" w:type="dxa"/>
              <w:left w:w="90" w:type="dxa"/>
              <w:bottom w:w="90" w:type="dxa"/>
              <w:right w:w="90" w:type="dxa"/>
            </w:tcMar>
          </w:tcPr>
          <w:p>
            <w:pPr>
              <w:spacing w:after="40" w:line="276" w:lineRule="auto"/>
            </w:pPr>
            <w:r>
              <w:rPr>
                <w:b w:val="0"/>
                <w:i w:val="0"/>
                <w:sz w:val="18"/>
              </w:rPr>
              <w:t>1C 电池</w:t>
            </w:r>
          </w:p>
        </w:tc>
        <w:tc>
          <w:tcPr>
            <w:tcW w:type="dxa" w:w="2005"/>
            <w:vAlign w:val="center"/>
            <w:tcMar>
              <w:top w:w="90" w:type="dxa"/>
              <w:left w:w="90" w:type="dxa"/>
              <w:bottom w:w="90" w:type="dxa"/>
              <w:right w:w="90" w:type="dxa"/>
            </w:tcMar>
          </w:tcPr>
          <w:p>
            <w:pPr>
              <w:spacing w:after="40" w:line="276" w:lineRule="auto"/>
            </w:pPr>
            <w:r>
              <w:rPr>
                <w:b w:val="0"/>
                <w:i w:val="0"/>
                <w:sz w:val="18"/>
              </w:rPr>
              <w:t>1</w:t>
            </w:r>
          </w:p>
        </w:tc>
        <w:tc>
          <w:tcPr>
            <w:tcW w:type="dxa" w:w="2483"/>
            <w:vAlign w:val="center"/>
            <w:tcMar>
              <w:top w:w="90" w:type="dxa"/>
              <w:left w:w="90" w:type="dxa"/>
              <w:bottom w:w="90" w:type="dxa"/>
              <w:right w:w="90" w:type="dxa"/>
            </w:tcMar>
          </w:tcPr>
          <w:p>
            <w:pPr>
              <w:spacing w:after="40" w:line="276" w:lineRule="auto"/>
            </w:pPr>
            <w:r>
              <w:rPr>
                <w:b w:val="0"/>
                <w:i w:val="0"/>
                <w:sz w:val="18"/>
              </w:rPr>
              <w:t>74.996041</w:t>
            </w:r>
          </w:p>
        </w:tc>
        <w:tc>
          <w:tcPr>
            <w:tcW w:type="dxa" w:w="2483"/>
            <w:vAlign w:val="center"/>
            <w:tcMar>
              <w:top w:w="90" w:type="dxa"/>
              <w:left w:w="90" w:type="dxa"/>
              <w:bottom w:w="90" w:type="dxa"/>
              <w:right w:w="90" w:type="dxa"/>
            </w:tcMar>
          </w:tcPr>
          <w:p>
            <w:pPr>
              <w:spacing w:after="40" w:line="276" w:lineRule="auto"/>
            </w:pPr>
            <w:r>
              <w:rPr>
                <w:b w:val="0"/>
                <w:i w:val="0"/>
                <w:sz w:val="18"/>
              </w:rPr>
              <w:t>74.996041</w:t>
            </w:r>
          </w:p>
        </w:tc>
      </w:tr>
      <w:tr>
        <w:trPr>
          <w:cantSplit/>
        </w:trPr>
        <w:tc>
          <w:tcPr>
            <w:tcW w:type="dxa" w:w="2821"/>
            <w:vAlign w:val="center"/>
            <w:tcMar>
              <w:top w:w="90" w:type="dxa"/>
              <w:left w:w="90" w:type="dxa"/>
              <w:bottom w:w="90" w:type="dxa"/>
              <w:right w:w="90" w:type="dxa"/>
            </w:tcMar>
          </w:tcPr>
          <w:p>
            <w:pPr>
              <w:spacing w:after="40" w:line="276" w:lineRule="auto"/>
            </w:pPr>
            <w:r>
              <w:rPr>
                <w:b w:val="0"/>
                <w:i w:val="0"/>
                <w:sz w:val="18"/>
              </w:rPr>
              <w:t>氢储能</w:t>
            </w:r>
          </w:p>
        </w:tc>
        <w:tc>
          <w:tcPr>
            <w:tcW w:type="dxa" w:w="2005"/>
            <w:vAlign w:val="center"/>
            <w:tcMar>
              <w:top w:w="90" w:type="dxa"/>
              <w:left w:w="90" w:type="dxa"/>
              <w:bottom w:w="90" w:type="dxa"/>
              <w:right w:w="90" w:type="dxa"/>
            </w:tcMar>
          </w:tcPr>
          <w:p>
            <w:pPr>
              <w:spacing w:after="40" w:line="276" w:lineRule="auto"/>
            </w:pPr>
            <w:r>
              <w:rPr>
                <w:b w:val="0"/>
                <w:i w:val="0"/>
                <w:sz w:val="18"/>
              </w:rPr>
              <w:t>1</w:t>
            </w:r>
          </w:p>
        </w:tc>
        <w:tc>
          <w:tcPr>
            <w:tcW w:type="dxa" w:w="2483"/>
            <w:vAlign w:val="center"/>
            <w:tcMar>
              <w:top w:w="90" w:type="dxa"/>
              <w:left w:w="90" w:type="dxa"/>
              <w:bottom w:w="90" w:type="dxa"/>
              <w:right w:w="90" w:type="dxa"/>
            </w:tcMar>
          </w:tcPr>
          <w:p>
            <w:pPr>
              <w:spacing w:after="40" w:line="276" w:lineRule="auto"/>
            </w:pPr>
            <w:r>
              <w:rPr>
                <w:b w:val="0"/>
                <w:i w:val="0"/>
                <w:sz w:val="18"/>
              </w:rPr>
              <w:t>0.749960</w:t>
            </w:r>
          </w:p>
        </w:tc>
        <w:tc>
          <w:tcPr>
            <w:tcW w:type="dxa" w:w="2483"/>
            <w:vAlign w:val="center"/>
            <w:tcMar>
              <w:top w:w="90" w:type="dxa"/>
              <w:left w:w="90" w:type="dxa"/>
              <w:bottom w:w="90" w:type="dxa"/>
              <w:right w:w="90" w:type="dxa"/>
            </w:tcMar>
          </w:tcPr>
          <w:p>
            <w:pPr>
              <w:spacing w:after="40" w:line="276" w:lineRule="auto"/>
            </w:pPr>
            <w:r>
              <w:rPr>
                <w:b w:val="0"/>
                <w:i w:val="0"/>
                <w:sz w:val="18"/>
              </w:rPr>
              <w:t>187.490103</w:t>
            </w:r>
          </w:p>
        </w:tc>
      </w:tr>
      <w:tr>
        <w:trPr>
          <w:cantSplit/>
        </w:trPr>
        <w:tc>
          <w:tcPr>
            <w:tcW w:type="dxa" w:w="2821"/>
            <w:vAlign w:val="center"/>
            <w:tcMar>
              <w:top w:w="90" w:type="dxa"/>
              <w:left w:w="90" w:type="dxa"/>
              <w:bottom w:w="90" w:type="dxa"/>
              <w:right w:w="90" w:type="dxa"/>
            </w:tcMar>
          </w:tcPr>
          <w:p>
            <w:pPr>
              <w:spacing w:after="40" w:line="276" w:lineRule="auto"/>
            </w:pPr>
            <w:r>
              <w:rPr>
                <w:b w:val="0"/>
                <w:i w:val="0"/>
                <w:sz w:val="18"/>
              </w:rPr>
              <w:t>抽水蓄能</w:t>
            </w:r>
          </w:p>
        </w:tc>
        <w:tc>
          <w:tcPr>
            <w:tcW w:type="dxa" w:w="2005"/>
            <w:vAlign w:val="center"/>
            <w:tcMar>
              <w:top w:w="90" w:type="dxa"/>
              <w:left w:w="90" w:type="dxa"/>
              <w:bottom w:w="90" w:type="dxa"/>
              <w:right w:w="90" w:type="dxa"/>
            </w:tcMar>
          </w:tcPr>
          <w:p>
            <w:pPr>
              <w:spacing w:after="40" w:line="276" w:lineRule="auto"/>
            </w:pPr>
            <w:r>
              <w:rPr>
                <w:b w:val="0"/>
                <w:i w:val="0"/>
                <w:sz w:val="18"/>
              </w:rPr>
              <w:t>1</w:t>
            </w:r>
          </w:p>
        </w:tc>
        <w:tc>
          <w:tcPr>
            <w:tcW w:type="dxa" w:w="2483"/>
            <w:vAlign w:val="center"/>
            <w:tcMar>
              <w:top w:w="90" w:type="dxa"/>
              <w:left w:w="90" w:type="dxa"/>
              <w:bottom w:w="90" w:type="dxa"/>
              <w:right w:w="90" w:type="dxa"/>
            </w:tcMar>
          </w:tcPr>
          <w:p>
            <w:pPr>
              <w:spacing w:after="40" w:line="276" w:lineRule="auto"/>
            </w:pPr>
            <w:r>
              <w:rPr>
                <w:b w:val="0"/>
                <w:i w:val="0"/>
                <w:sz w:val="18"/>
              </w:rPr>
              <w:t>2,828</w:t>
            </w:r>
          </w:p>
        </w:tc>
        <w:tc>
          <w:tcPr>
            <w:tcW w:type="dxa" w:w="2483"/>
            <w:vAlign w:val="center"/>
            <w:tcMar>
              <w:top w:w="90" w:type="dxa"/>
              <w:left w:w="90" w:type="dxa"/>
              <w:bottom w:w="90" w:type="dxa"/>
              <w:right w:w="90" w:type="dxa"/>
            </w:tcMar>
          </w:tcPr>
          <w:p>
            <w:pPr>
              <w:spacing w:after="40" w:line="276" w:lineRule="auto"/>
            </w:pPr>
            <w:r>
              <w:rPr>
                <w:b w:val="0"/>
                <w:i w:val="0"/>
                <w:sz w:val="18"/>
              </w:rPr>
              <w:t>26,700</w:t>
            </w:r>
          </w:p>
        </w:tc>
      </w:tr>
    </w:tbl>
    <w:p>
      <w:pPr>
        <w:spacing w:after="20"/>
      </w:pPr>
    </w:p>
    <w:p>
      <w:pPr>
        <w:pStyle w:val="Heading2"/>
      </w:pPr>
      <w:r>
        <w:rPr>
          <w:b w:val="0"/>
          <w:i w:val="0"/>
        </w:rPr>
        <w:t>规划输入</w:t>
      </w:r>
    </w:p>
    <w:p>
      <w:r>
        <w:rPr>
          <w:b w:val="0"/>
          <w:i w:val="0"/>
        </w:rPr>
        <w:t>项目开发采用按技术和地区给定的成功率，以及按技术给定的阶段时间。</w:t>
      </w:r>
      <w:r>
        <w:rPr>
          <w:rFonts w:ascii="DejaVu Sans Mono" w:hAnsi="DejaVu Sans Mono"/>
          <w:b w:val="0"/>
          <w:i w:val="0"/>
          <w:sz w:val="17"/>
        </w:rPr>
        <w:t>regional_​technology_​success_​rates.csv</w:t>
      </w:r>
      <w:r>
        <w:rPr>
          <w:b w:val="0"/>
          <w:i w:val="0"/>
        </w:rPr>
        <w:t xml:space="preserve"> 包含 46 条记录，</w:t>
      </w:r>
      <w:r>
        <w:rPr>
          <w:rFonts w:ascii="DejaVu Sans Mono" w:hAnsi="DejaVu Sans Mono"/>
          <w:b w:val="0"/>
          <w:i w:val="0"/>
          <w:sz w:val="17"/>
        </w:rPr>
        <w:t>planning_timelines.json</w:t>
      </w:r>
      <w:r>
        <w:rPr>
          <w:b w:val="0"/>
          <w:i w:val="0"/>
        </w:rPr>
        <w:t xml:space="preserve"> 给出以月计的时间。</w:t>
      </w:r>
      <w:r>
        <w:rPr>
          <w:rFonts w:ascii="DejaVu Sans Mono" w:hAnsi="DejaVu Sans Mono"/>
          <w:b w:val="0"/>
          <w:i w:val="0"/>
          <w:sz w:val="17"/>
        </w:rPr>
        <w:t>development_​stage_​timelines</w:t>
      </w:r>
      <w:r>
        <w:rPr>
          <w:b w:val="0"/>
          <w:i w:val="0"/>
        </w:rPr>
        <w:t>、</w:t>
      </w:r>
      <w:r>
        <w:rPr>
          <w:rFonts w:ascii="DejaVu Sans Mono" w:hAnsi="DejaVu Sans Mono"/>
          <w:b w:val="0"/>
          <w:i w:val="0"/>
          <w:sz w:val="17"/>
        </w:rPr>
        <w:t>repd_status_to_timeline</w:t>
      </w:r>
      <w:r>
        <w:rPr>
          <w:b w:val="0"/>
          <w:i w:val="0"/>
        </w:rPr>
        <w:t>、</w:t>
      </w:r>
      <w:r>
        <w:rPr>
          <w:rFonts w:ascii="DejaVu Sans Mono" w:hAnsi="DejaVu Sans Mono"/>
          <w:b w:val="0"/>
          <w:i w:val="0"/>
          <w:sz w:val="17"/>
        </w:rPr>
        <w:t>success_rates</w:t>
      </w:r>
      <w:r>
        <w:rPr>
          <w:b w:val="0"/>
          <w:i w:val="0"/>
        </w:rPr>
        <w:t xml:space="preserve"> 存入初始状态，同时服务于已有规划项目和新增投资提案。</w:t>
      </w:r>
    </w:p>
    <w:p>
      <w:r>
        <w:rPr>
          <w:b w:val="0"/>
          <w:i w:val="0"/>
        </w:rPr>
        <w:t>输入中位数分别描述开发期和施工期。状态映射确定项目尚需经过的阶段。下述预处理构造初始项目清单，第 6 章推进这些项目并在各年接收新增投资提案。</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9"/>
        <w:gridCol w:w="3721"/>
        <w:gridCol w:w="3721"/>
      </w:tblGrid>
      <w:tr>
        <w:trPr>
          <w:cantSplit/>
          <w:tblHeader w:val="true"/>
        </w:trPr>
        <w:tc>
          <w:tcPr>
            <w:tcW w:type="dxa" w:w="2349"/>
            <w:vAlign w:val="center"/>
            <w:tcMar>
              <w:top w:w="90" w:type="dxa"/>
              <w:left w:w="90" w:type="dxa"/>
              <w:bottom w:w="90" w:type="dxa"/>
              <w:right w:w="90" w:type="dxa"/>
            </w:tcMar>
            <w:shd w:fill="EEEEEE"/>
          </w:tcPr>
          <w:p>
            <w:pPr>
              <w:spacing w:after="40" w:line="276" w:lineRule="auto"/>
            </w:pPr>
            <w:r>
              <w:rPr>
                <w:b/>
                <w:i w:val="0"/>
                <w:sz w:val="18"/>
              </w:rPr>
              <w:t>技术</w:t>
            </w:r>
          </w:p>
        </w:tc>
        <w:tc>
          <w:tcPr>
            <w:tcW w:type="dxa" w:w="3721"/>
            <w:vAlign w:val="center"/>
            <w:tcMar>
              <w:top w:w="90" w:type="dxa"/>
              <w:left w:w="90" w:type="dxa"/>
              <w:bottom w:w="90" w:type="dxa"/>
              <w:right w:w="90" w:type="dxa"/>
            </w:tcMar>
            <w:shd w:fill="EEEEEE"/>
          </w:tcPr>
          <w:p>
            <w:pPr>
              <w:spacing w:after="40" w:line="276" w:lineRule="auto"/>
            </w:pPr>
            <w:r>
              <w:rPr>
                <w:b/>
                <w:i w:val="0"/>
                <w:sz w:val="18"/>
              </w:rPr>
              <w:t>开发期中位数 月</w:t>
            </w:r>
          </w:p>
        </w:tc>
        <w:tc>
          <w:tcPr>
            <w:tcW w:type="dxa" w:w="3721"/>
            <w:vAlign w:val="center"/>
            <w:tcMar>
              <w:top w:w="90" w:type="dxa"/>
              <w:left w:w="90" w:type="dxa"/>
              <w:bottom w:w="90" w:type="dxa"/>
              <w:right w:w="90" w:type="dxa"/>
            </w:tcMar>
            <w:shd w:fill="EEEEEE"/>
          </w:tcPr>
          <w:p>
            <w:pPr>
              <w:spacing w:after="40" w:line="276" w:lineRule="auto"/>
            </w:pPr>
            <w:r>
              <w:rPr>
                <w:b/>
                <w:i w:val="0"/>
                <w:sz w:val="18"/>
              </w:rPr>
              <w:t>施工期中位数 月</w:t>
            </w:r>
          </w:p>
        </w:tc>
      </w:tr>
      <w:tr>
        <w:trPr>
          <w:cantSplit/>
        </w:trPr>
        <w:tc>
          <w:tcPr>
            <w:tcW w:type="dxa" w:w="2349"/>
            <w:vAlign w:val="center"/>
            <w:tcMar>
              <w:top w:w="90" w:type="dxa"/>
              <w:left w:w="90" w:type="dxa"/>
              <w:bottom w:w="90" w:type="dxa"/>
              <w:right w:w="90" w:type="dxa"/>
            </w:tcMar>
          </w:tcPr>
          <w:p>
            <w:pPr>
              <w:spacing w:after="40" w:line="276" w:lineRule="auto"/>
            </w:pPr>
            <w:r>
              <w:rPr>
                <w:b w:val="0"/>
                <w:i w:val="0"/>
                <w:sz w:val="18"/>
              </w:rPr>
              <w:t>光伏</w:t>
            </w:r>
          </w:p>
        </w:tc>
        <w:tc>
          <w:tcPr>
            <w:tcW w:type="dxa" w:w="3721"/>
            <w:vAlign w:val="center"/>
            <w:tcMar>
              <w:top w:w="90" w:type="dxa"/>
              <w:left w:w="90" w:type="dxa"/>
              <w:bottom w:w="90" w:type="dxa"/>
              <w:right w:w="90" w:type="dxa"/>
            </w:tcMar>
          </w:tcPr>
          <w:p>
            <w:pPr>
              <w:spacing w:after="40" w:line="276" w:lineRule="auto"/>
            </w:pPr>
            <w:r>
              <w:rPr>
                <w:b w:val="0"/>
                <w:i w:val="0"/>
                <w:sz w:val="18"/>
              </w:rPr>
              <w:t>27.8</w:t>
            </w:r>
          </w:p>
        </w:tc>
        <w:tc>
          <w:tcPr>
            <w:tcW w:type="dxa" w:w="3721"/>
            <w:vAlign w:val="center"/>
            <w:tcMar>
              <w:top w:w="90" w:type="dxa"/>
              <w:left w:w="90" w:type="dxa"/>
              <w:bottom w:w="90" w:type="dxa"/>
              <w:right w:w="90" w:type="dxa"/>
            </w:tcMar>
          </w:tcPr>
          <w:p>
            <w:pPr>
              <w:spacing w:after="40" w:line="276" w:lineRule="auto"/>
            </w:pPr>
            <w:r>
              <w:rPr>
                <w:b w:val="0"/>
                <w:i w:val="0"/>
                <w:sz w:val="18"/>
              </w:rPr>
              <w:t>4.9</w:t>
            </w:r>
          </w:p>
        </w:tc>
      </w:tr>
      <w:tr>
        <w:trPr>
          <w:cantSplit/>
        </w:trPr>
        <w:tc>
          <w:tcPr>
            <w:tcW w:type="dxa" w:w="2349"/>
            <w:vAlign w:val="center"/>
            <w:tcMar>
              <w:top w:w="90" w:type="dxa"/>
              <w:left w:w="90" w:type="dxa"/>
              <w:bottom w:w="90" w:type="dxa"/>
              <w:right w:w="90" w:type="dxa"/>
            </w:tcMar>
          </w:tcPr>
          <w:p>
            <w:pPr>
              <w:spacing w:after="40" w:line="276" w:lineRule="auto"/>
            </w:pPr>
            <w:r>
              <w:rPr>
                <w:b w:val="0"/>
                <w:i w:val="0"/>
                <w:sz w:val="18"/>
              </w:rPr>
              <w:t>陆风</w:t>
            </w:r>
          </w:p>
        </w:tc>
        <w:tc>
          <w:tcPr>
            <w:tcW w:type="dxa" w:w="3721"/>
            <w:vAlign w:val="center"/>
            <w:tcMar>
              <w:top w:w="90" w:type="dxa"/>
              <w:left w:w="90" w:type="dxa"/>
              <w:bottom w:w="90" w:type="dxa"/>
              <w:right w:w="90" w:type="dxa"/>
            </w:tcMar>
          </w:tcPr>
          <w:p>
            <w:pPr>
              <w:spacing w:after="40" w:line="276" w:lineRule="auto"/>
            </w:pPr>
            <w:r>
              <w:rPr>
                <w:b w:val="0"/>
                <w:i w:val="0"/>
                <w:sz w:val="18"/>
              </w:rPr>
              <w:t>62.5</w:t>
            </w:r>
          </w:p>
        </w:tc>
        <w:tc>
          <w:tcPr>
            <w:tcW w:type="dxa" w:w="3721"/>
            <w:vAlign w:val="center"/>
            <w:tcMar>
              <w:top w:w="90" w:type="dxa"/>
              <w:left w:w="90" w:type="dxa"/>
              <w:bottom w:w="90" w:type="dxa"/>
              <w:right w:w="90" w:type="dxa"/>
            </w:tcMar>
          </w:tcPr>
          <w:p>
            <w:pPr>
              <w:spacing w:after="40" w:line="276" w:lineRule="auto"/>
            </w:pPr>
            <w:r>
              <w:rPr>
                <w:b w:val="0"/>
                <w:i w:val="0"/>
                <w:sz w:val="18"/>
              </w:rPr>
              <w:t>15.0</w:t>
            </w:r>
          </w:p>
        </w:tc>
      </w:tr>
      <w:tr>
        <w:trPr>
          <w:cantSplit/>
        </w:trPr>
        <w:tc>
          <w:tcPr>
            <w:tcW w:type="dxa" w:w="2349"/>
            <w:vAlign w:val="center"/>
            <w:tcMar>
              <w:top w:w="90" w:type="dxa"/>
              <w:left w:w="90" w:type="dxa"/>
              <w:bottom w:w="90" w:type="dxa"/>
              <w:right w:w="90" w:type="dxa"/>
            </w:tcMar>
          </w:tcPr>
          <w:p>
            <w:pPr>
              <w:spacing w:after="40" w:line="276" w:lineRule="auto"/>
            </w:pPr>
            <w:r>
              <w:rPr>
                <w:b w:val="0"/>
                <w:i w:val="0"/>
                <w:sz w:val="18"/>
              </w:rPr>
              <w:t>海风</w:t>
            </w:r>
          </w:p>
        </w:tc>
        <w:tc>
          <w:tcPr>
            <w:tcW w:type="dxa" w:w="3721"/>
            <w:vAlign w:val="center"/>
            <w:tcMar>
              <w:top w:w="90" w:type="dxa"/>
              <w:left w:w="90" w:type="dxa"/>
              <w:bottom w:w="90" w:type="dxa"/>
              <w:right w:w="90" w:type="dxa"/>
            </w:tcMar>
          </w:tcPr>
          <w:p>
            <w:pPr>
              <w:spacing w:after="40" w:line="276" w:lineRule="auto"/>
            </w:pPr>
            <w:r>
              <w:rPr>
                <w:b w:val="0"/>
                <w:i w:val="0"/>
                <w:sz w:val="18"/>
              </w:rPr>
              <w:t>110.1</w:t>
            </w:r>
          </w:p>
        </w:tc>
        <w:tc>
          <w:tcPr>
            <w:tcW w:type="dxa" w:w="3721"/>
            <w:vAlign w:val="center"/>
            <w:tcMar>
              <w:top w:w="90" w:type="dxa"/>
              <w:left w:w="90" w:type="dxa"/>
              <w:bottom w:w="90" w:type="dxa"/>
              <w:right w:w="90" w:type="dxa"/>
            </w:tcMar>
          </w:tcPr>
          <w:p>
            <w:pPr>
              <w:spacing w:after="40" w:line="276" w:lineRule="auto"/>
            </w:pPr>
            <w:r>
              <w:rPr>
                <w:b w:val="0"/>
                <w:i w:val="0"/>
                <w:sz w:val="18"/>
              </w:rPr>
              <w:t>32.2</w:t>
            </w:r>
          </w:p>
        </w:tc>
      </w:tr>
      <w:tr>
        <w:trPr>
          <w:cantSplit/>
        </w:trPr>
        <w:tc>
          <w:tcPr>
            <w:tcW w:type="dxa" w:w="2349"/>
            <w:vAlign w:val="center"/>
            <w:tcMar>
              <w:top w:w="90" w:type="dxa"/>
              <w:left w:w="90" w:type="dxa"/>
              <w:bottom w:w="90" w:type="dxa"/>
              <w:right w:w="90" w:type="dxa"/>
            </w:tcMar>
          </w:tcPr>
          <w:p>
            <w:pPr>
              <w:spacing w:after="40" w:line="276" w:lineRule="auto"/>
            </w:pPr>
            <w:r>
              <w:rPr>
                <w:b w:val="0"/>
                <w:i w:val="0"/>
                <w:sz w:val="18"/>
              </w:rPr>
              <w:t>电池</w:t>
            </w:r>
          </w:p>
        </w:tc>
        <w:tc>
          <w:tcPr>
            <w:tcW w:type="dxa" w:w="3721"/>
            <w:vAlign w:val="center"/>
            <w:tcMar>
              <w:top w:w="90" w:type="dxa"/>
              <w:left w:w="90" w:type="dxa"/>
              <w:bottom w:w="90" w:type="dxa"/>
              <w:right w:w="90" w:type="dxa"/>
            </w:tcMar>
          </w:tcPr>
          <w:p>
            <w:pPr>
              <w:spacing w:after="40" w:line="276" w:lineRule="auto"/>
            </w:pPr>
            <w:r>
              <w:rPr>
                <w:b w:val="0"/>
                <w:i w:val="0"/>
                <w:sz w:val="18"/>
              </w:rPr>
              <w:t>31.3</w:t>
            </w:r>
          </w:p>
        </w:tc>
        <w:tc>
          <w:tcPr>
            <w:tcW w:type="dxa" w:w="3721"/>
            <w:vAlign w:val="center"/>
            <w:tcMar>
              <w:top w:w="90" w:type="dxa"/>
              <w:left w:w="90" w:type="dxa"/>
              <w:bottom w:w="90" w:type="dxa"/>
              <w:right w:w="90" w:type="dxa"/>
            </w:tcMar>
          </w:tcPr>
          <w:p>
            <w:pPr>
              <w:spacing w:after="40" w:line="276" w:lineRule="auto"/>
            </w:pPr>
            <w:r>
              <w:rPr>
                <w:b w:val="0"/>
                <w:i w:val="0"/>
                <w:sz w:val="18"/>
              </w:rPr>
              <w:t>10.1</w:t>
            </w:r>
          </w:p>
        </w:tc>
      </w:tr>
    </w:tbl>
    <w:p>
      <w:pPr>
        <w:spacing w:after="20"/>
      </w:pPr>
    </w:p>
    <w:p>
      <w:r>
        <w:rPr>
          <w:b w:val="0"/>
          <w:i w:val="0"/>
        </w:rPr>
        <w:t>初始规划项目按容量、开发状态和进展日期筛选。</w:t>
      </w:r>
      <w:r>
        <w:rPr>
          <w:rFonts w:ascii="DejaVu Sans Mono" w:hAnsi="DejaVu Sans Mono"/>
          <w:b w:val="0"/>
          <w:i w:val="0"/>
          <w:sz w:val="17"/>
        </w:rPr>
        <w:t>native_initial_state</w:t>
      </w:r>
      <w:r>
        <w:rPr>
          <w:b w:val="0"/>
          <w:i w:val="0"/>
        </w:rPr>
        <w:t xml:space="preserve"> 采用下表控制量，默认 </w:t>
      </w:r>
      <w:r>
        <w:rPr>
          <w:rFonts w:ascii="DejaVu Sans Mono" w:hAnsi="DejaVu Sans Mono"/>
          <w:b w:val="0"/>
          <w:i w:val="0"/>
          <w:sz w:val="17"/>
        </w:rPr>
        <w:t>planning.success_​mode="expected"</w:t>
      </w:r>
      <w:r>
        <w:rPr>
          <w:b w:val="0"/>
          <w:i w:val="0"/>
        </w:rPr>
        <w:t xml:space="preserve"> 读为 </w:t>
      </w:r>
      <w:r>
        <w:rPr>
          <w:rFonts w:ascii="DejaVu Sans Mono" w:hAnsi="DejaVu Sans Mono"/>
          <w:b w:val="0"/>
          <w:i w:val="0"/>
          <w:sz w:val="17"/>
        </w:rPr>
        <w:t>success_​mode="expected_capacity"</w:t>
      </w:r>
      <w:r>
        <w:rPr>
          <w:b w:val="0"/>
          <w:i w:val="0"/>
        </w:rPr>
        <w:t>。</w:t>
      </w:r>
      <w:r>
        <w:rPr>
          <w:rFonts w:ascii="DejaVu Sans Mono" w:hAnsi="DejaVu Sans Mono"/>
          <w:b w:val="0"/>
          <w:i w:val="0"/>
          <w:sz w:val="17"/>
        </w:rPr>
        <w:t>year</w:t>
      </w:r>
      <w:r>
        <w:rPr>
          <w:b w:val="0"/>
          <w:i w:val="0"/>
        </w:rPr>
        <w:t xml:space="preserve"> 为研究起始年，</w:t>
      </w:r>
      <w:r>
        <w:rPr>
          <w:rFonts w:ascii="DejaVu Sans Mono" w:hAnsi="DejaVu Sans Mono"/>
          <w:b w:val="0"/>
          <w:i w:val="0"/>
          <w:sz w:val="17"/>
        </w:rPr>
        <w:t>capacity</w:t>
      </w:r>
      <w:r>
        <w:rPr>
          <w:b w:val="0"/>
          <w:i w:val="0"/>
        </w:rPr>
        <w:t xml:space="preserve"> 为源项目的 MW 容量。</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27"/>
        <w:gridCol w:w="2992"/>
        <w:gridCol w:w="3173"/>
      </w:tblGrid>
      <w:tr>
        <w:trPr>
          <w:cantSplit/>
          <w:tblHeader w:val="true"/>
        </w:trPr>
        <w:tc>
          <w:tcPr>
            <w:tcW w:type="dxa" w:w="3627"/>
            <w:vAlign w:val="center"/>
            <w:tcMar>
              <w:top w:w="90" w:type="dxa"/>
              <w:left w:w="90" w:type="dxa"/>
              <w:bottom w:w="90" w:type="dxa"/>
              <w:right w:w="90" w:type="dxa"/>
            </w:tcMar>
            <w:shd w:fill="EEEEEE"/>
          </w:tcPr>
          <w:p>
            <w:pPr>
              <w:spacing w:after="40" w:line="276" w:lineRule="auto"/>
            </w:pPr>
            <w:r>
              <w:rPr>
                <w:b/>
                <w:i w:val="0"/>
                <w:sz w:val="18"/>
              </w:rPr>
              <w:t>参数</w:t>
            </w:r>
          </w:p>
        </w:tc>
        <w:tc>
          <w:tcPr>
            <w:tcW w:type="dxa" w:w="2992"/>
            <w:vAlign w:val="center"/>
            <w:tcMar>
              <w:top w:w="90" w:type="dxa"/>
              <w:left w:w="90" w:type="dxa"/>
              <w:bottom w:w="90" w:type="dxa"/>
              <w:right w:w="90" w:type="dxa"/>
            </w:tcMar>
            <w:shd w:fill="EEEEEE"/>
          </w:tcPr>
          <w:p>
            <w:pPr>
              <w:spacing w:after="40" w:line="276" w:lineRule="auto"/>
            </w:pPr>
            <w:r>
              <w:rPr>
                <w:b/>
                <w:i w:val="0"/>
                <w:sz w:val="18"/>
              </w:rPr>
              <w:t>默认值</w:t>
            </w:r>
          </w:p>
        </w:tc>
        <w:tc>
          <w:tcPr>
            <w:tcW w:type="dxa" w:w="3173"/>
            <w:vAlign w:val="center"/>
            <w:tcMar>
              <w:top w:w="90" w:type="dxa"/>
              <w:left w:w="90" w:type="dxa"/>
              <w:bottom w:w="90" w:type="dxa"/>
              <w:right w:w="90" w:type="dxa"/>
            </w:tcMar>
            <w:shd w:fill="EEEEEE"/>
          </w:tcPr>
          <w:p>
            <w:pPr>
              <w:spacing w:after="40" w:line="276" w:lineRule="auto"/>
            </w:pPr>
            <w:r>
              <w:rPr>
                <w:b/>
                <w:i w:val="0"/>
                <w:sz w:val="18"/>
              </w:rPr>
              <w:t>用途</w:t>
            </w:r>
          </w:p>
        </w:tc>
      </w:tr>
      <w:tr>
        <w:trPr>
          <w:cantSplit/>
        </w:trPr>
        <w:tc>
          <w:tcPr>
            <w:tcW w:type="dxa" w:w="3627"/>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planning.minimum_​project_​size_​mw</w:t>
            </w:r>
          </w:p>
        </w:tc>
        <w:tc>
          <w:tcPr>
            <w:tcW w:type="dxa" w:w="2992"/>
            <w:vAlign w:val="center"/>
            <w:tcMar>
              <w:top w:w="90" w:type="dxa"/>
              <w:left w:w="90" w:type="dxa"/>
              <w:bottom w:w="90" w:type="dxa"/>
              <w:right w:w="90" w:type="dxa"/>
            </w:tcMar>
          </w:tcPr>
          <w:p>
            <w:pPr>
              <w:spacing w:after="40" w:line="276" w:lineRule="auto"/>
            </w:pPr>
            <w:r>
              <w:rPr>
                <w:b w:val="0"/>
                <w:i w:val="0"/>
                <w:sz w:val="18"/>
              </w:rPr>
              <w:t>1 MW</w:t>
            </w:r>
          </w:p>
        </w:tc>
        <w:tc>
          <w:tcPr>
            <w:tcW w:type="dxa" w:w="3173"/>
            <w:vAlign w:val="center"/>
            <w:tcMar>
              <w:top w:w="90" w:type="dxa"/>
              <w:left w:w="90" w:type="dxa"/>
              <w:bottom w:w="90" w:type="dxa"/>
              <w:right w:w="90" w:type="dxa"/>
            </w:tcMar>
          </w:tcPr>
          <w:p>
            <w:pPr>
              <w:spacing w:after="40" w:line="276" w:lineRule="auto"/>
            </w:pPr>
            <w:r>
              <w:rPr>
                <w:b w:val="0"/>
                <w:i w:val="0"/>
                <w:sz w:val="18"/>
              </w:rPr>
              <w:t>进入清单的最小正容量</w:t>
            </w:r>
          </w:p>
        </w:tc>
      </w:tr>
      <w:tr>
        <w:trPr>
          <w:cantSplit/>
        </w:trPr>
        <w:tc>
          <w:tcPr>
            <w:tcW w:type="dxa" w:w="3627"/>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planning.include_​uncertain_​projects</w:t>
            </w:r>
          </w:p>
        </w:tc>
        <w:tc>
          <w:tcPr>
            <w:tcW w:type="dxa" w:w="2992"/>
            <w:vAlign w:val="center"/>
            <w:tcMar>
              <w:top w:w="90" w:type="dxa"/>
              <w:left w:w="90" w:type="dxa"/>
              <w:bottom w:w="90" w:type="dxa"/>
              <w:right w:w="90" w:type="dxa"/>
            </w:tcMar>
          </w:tcPr>
          <w:p>
            <w:pPr>
              <w:spacing w:after="40" w:line="276" w:lineRule="auto"/>
            </w:pPr>
            <w:r>
              <w:rPr>
                <w:rFonts w:ascii="DejaVu Sans Mono" w:hAnsi="DejaVu Sans Mono"/>
                <w:b w:val="0"/>
                <w:i w:val="0"/>
                <w:sz w:val="18"/>
              </w:rPr>
              <w:t>true</w:t>
            </w:r>
          </w:p>
        </w:tc>
        <w:tc>
          <w:tcPr>
            <w:tcW w:type="dxa" w:w="3173"/>
            <w:vAlign w:val="center"/>
            <w:tcMar>
              <w:top w:w="90" w:type="dxa"/>
              <w:left w:w="90" w:type="dxa"/>
              <w:bottom w:w="90" w:type="dxa"/>
              <w:right w:w="90" w:type="dxa"/>
            </w:tcMar>
          </w:tcPr>
          <w:p>
            <w:pPr>
              <w:spacing w:after="40" w:line="276" w:lineRule="auto"/>
            </w:pPr>
            <w:r>
              <w:rPr>
                <w:b w:val="0"/>
                <w:i w:val="0"/>
                <w:sz w:val="18"/>
              </w:rPr>
              <w:t>接收申请、上诉和修订状态</w:t>
            </w:r>
          </w:p>
        </w:tc>
      </w:tr>
      <w:tr>
        <w:trPr>
          <w:cantSplit/>
        </w:trPr>
        <w:tc>
          <w:tcPr>
            <w:tcW w:type="dxa" w:w="3627"/>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planning.zombie_​filter_​enabled</w:t>
            </w:r>
          </w:p>
        </w:tc>
        <w:tc>
          <w:tcPr>
            <w:tcW w:type="dxa" w:w="2992"/>
            <w:vAlign w:val="center"/>
            <w:tcMar>
              <w:top w:w="90" w:type="dxa"/>
              <w:left w:w="90" w:type="dxa"/>
              <w:bottom w:w="90" w:type="dxa"/>
              <w:right w:w="90" w:type="dxa"/>
            </w:tcMar>
          </w:tcPr>
          <w:p>
            <w:pPr>
              <w:spacing w:after="40" w:line="276" w:lineRule="auto"/>
            </w:pPr>
            <w:r>
              <w:rPr>
                <w:rFonts w:ascii="DejaVu Sans Mono" w:hAnsi="DejaVu Sans Mono"/>
                <w:b w:val="0"/>
                <w:i w:val="0"/>
                <w:sz w:val="18"/>
              </w:rPr>
              <w:t>true</w:t>
            </w:r>
          </w:p>
        </w:tc>
        <w:tc>
          <w:tcPr>
            <w:tcW w:type="dxa" w:w="3173"/>
            <w:vAlign w:val="center"/>
            <w:tcMar>
              <w:top w:w="90" w:type="dxa"/>
              <w:left w:w="90" w:type="dxa"/>
              <w:bottom w:w="90" w:type="dxa"/>
              <w:right w:w="90" w:type="dxa"/>
            </w:tcMar>
          </w:tcPr>
          <w:p>
            <w:pPr>
              <w:spacing w:after="40" w:line="276" w:lineRule="auto"/>
            </w:pPr>
            <w:r>
              <w:rPr>
                <w:b w:val="0"/>
                <w:i w:val="0"/>
                <w:sz w:val="18"/>
              </w:rPr>
              <w:t>启用状态、进展和施工超期筛选</w:t>
            </w:r>
          </w:p>
        </w:tc>
      </w:tr>
      <w:tr>
        <w:trPr>
          <w:cantSplit/>
        </w:trPr>
        <w:tc>
          <w:tcPr>
            <w:tcW w:type="dxa" w:w="3627"/>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planning.zombie_​status_​stale_​year</w:t>
            </w:r>
          </w:p>
        </w:tc>
        <w:tc>
          <w:tcPr>
            <w:tcW w:type="dxa" w:w="2992"/>
            <w:vAlign w:val="center"/>
            <w:tcMar>
              <w:top w:w="90" w:type="dxa"/>
              <w:left w:w="90" w:type="dxa"/>
              <w:bottom w:w="90" w:type="dxa"/>
              <w:right w:w="90" w:type="dxa"/>
            </w:tcMar>
          </w:tcPr>
          <w:p>
            <w:pPr>
              <w:spacing w:after="40" w:line="276" w:lineRule="auto"/>
            </w:pPr>
            <w:r>
              <w:rPr>
                <w:b w:val="0"/>
                <w:i w:val="0"/>
                <w:sz w:val="18"/>
              </w:rPr>
              <w:t>2015</w:t>
            </w:r>
          </w:p>
        </w:tc>
        <w:tc>
          <w:tcPr>
            <w:tcW w:type="dxa" w:w="3173"/>
            <w:vAlign w:val="center"/>
            <w:tcMar>
              <w:top w:w="90" w:type="dxa"/>
              <w:left w:w="90" w:type="dxa"/>
              <w:bottom w:w="90" w:type="dxa"/>
              <w:right w:w="90" w:type="dxa"/>
            </w:tcMar>
          </w:tcPr>
          <w:p>
            <w:pPr>
              <w:spacing w:after="40" w:line="276" w:lineRule="auto"/>
            </w:pPr>
            <w:r>
              <w:rPr>
                <w:b w:val="0"/>
                <w:i w:val="0"/>
                <w:sz w:val="18"/>
              </w:rPr>
              <w:t>不确定项目最新进展年份的截止值</w:t>
            </w:r>
          </w:p>
        </w:tc>
      </w:tr>
      <w:tr>
        <w:trPr>
          <w:cantSplit/>
        </w:trPr>
        <w:tc>
          <w:tcPr>
            <w:tcW w:type="dxa" w:w="3627"/>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planning.construction_​grace_​years</w:t>
            </w:r>
          </w:p>
        </w:tc>
        <w:tc>
          <w:tcPr>
            <w:tcW w:type="dxa" w:w="2992"/>
            <w:vAlign w:val="center"/>
            <w:tcMar>
              <w:top w:w="90" w:type="dxa"/>
              <w:left w:w="90" w:type="dxa"/>
              <w:bottom w:w="90" w:type="dxa"/>
              <w:right w:w="90" w:type="dxa"/>
            </w:tcMar>
          </w:tcPr>
          <w:p>
            <w:pPr>
              <w:spacing w:after="40" w:line="276" w:lineRule="auto"/>
            </w:pPr>
            <w:r>
              <w:rPr>
                <w:b w:val="0"/>
                <w:i w:val="0"/>
                <w:sz w:val="18"/>
              </w:rPr>
              <w:t>2 年</w:t>
            </w:r>
          </w:p>
        </w:tc>
        <w:tc>
          <w:tcPr>
            <w:tcW w:type="dxa" w:w="3173"/>
            <w:vAlign w:val="center"/>
            <w:tcMar>
              <w:top w:w="90" w:type="dxa"/>
              <w:left w:w="90" w:type="dxa"/>
              <w:bottom w:w="90" w:type="dxa"/>
              <w:right w:w="90" w:type="dxa"/>
            </w:tcMar>
          </w:tcPr>
          <w:p>
            <w:pPr>
              <w:spacing w:after="40" w:line="276" w:lineRule="auto"/>
            </w:pPr>
            <w:r>
              <w:rPr>
                <w:b w:val="0"/>
                <w:i w:val="0"/>
                <w:sz w:val="18"/>
              </w:rPr>
              <w:t>加至估计施工完成年份的宽限期</w:t>
            </w:r>
          </w:p>
        </w:tc>
      </w:tr>
      <w:tr>
        <w:trPr>
          <w:cantSplit/>
        </w:trPr>
        <w:tc>
          <w:tcPr>
            <w:tcW w:type="dxa" w:w="3627"/>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planning.max_​completion_​year</w:t>
            </w:r>
          </w:p>
        </w:tc>
        <w:tc>
          <w:tcPr>
            <w:tcW w:type="dxa" w:w="2992"/>
            <w:vAlign w:val="center"/>
            <w:tcMar>
              <w:top w:w="90" w:type="dxa"/>
              <w:left w:w="90" w:type="dxa"/>
              <w:bottom w:w="90" w:type="dxa"/>
              <w:right w:w="90" w:type="dxa"/>
            </w:tcMar>
          </w:tcPr>
          <w:p>
            <w:pPr>
              <w:spacing w:after="40" w:line="276" w:lineRule="auto"/>
            </w:pPr>
            <w:r>
              <w:rPr>
                <w:b w:val="0"/>
                <w:i w:val="0"/>
                <w:sz w:val="18"/>
              </w:rPr>
              <w:t>2040</w:t>
            </w:r>
          </w:p>
        </w:tc>
        <w:tc>
          <w:tcPr>
            <w:tcW w:type="dxa" w:w="3173"/>
            <w:vAlign w:val="center"/>
            <w:tcMar>
              <w:top w:w="90" w:type="dxa"/>
              <w:left w:w="90" w:type="dxa"/>
              <w:bottom w:w="90" w:type="dxa"/>
              <w:right w:w="90" w:type="dxa"/>
            </w:tcMar>
          </w:tcPr>
          <w:p>
            <w:pPr>
              <w:spacing w:after="40" w:line="276" w:lineRule="auto"/>
            </w:pPr>
            <w:r>
              <w:rPr>
                <w:b w:val="0"/>
                <w:i w:val="0"/>
                <w:sz w:val="18"/>
              </w:rPr>
              <w:t>接收项目的最晚完成年份</w:t>
            </w:r>
          </w:p>
        </w:tc>
      </w:tr>
      <w:tr>
        <w:trPr>
          <w:cantSplit/>
        </w:trPr>
        <w:tc>
          <w:tcPr>
            <w:tcW w:type="dxa" w:w="3627"/>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planning.timeline_​statistic</w:t>
            </w:r>
          </w:p>
        </w:tc>
        <w:tc>
          <w:tcPr>
            <w:tcW w:type="dxa" w:w="2992"/>
            <w:vAlign w:val="center"/>
            <w:tcMar>
              <w:top w:w="90" w:type="dxa"/>
              <w:left w:w="90" w:type="dxa"/>
              <w:bottom w:w="90" w:type="dxa"/>
              <w:right w:w="90" w:type="dxa"/>
            </w:tcMar>
          </w:tcPr>
          <w:p>
            <w:pPr>
              <w:spacing w:after="40" w:line="276" w:lineRule="auto"/>
            </w:pPr>
            <w:r>
              <w:rPr>
                <w:rFonts w:ascii="DejaVu Sans Mono" w:hAnsi="DejaVu Sans Mono"/>
                <w:b w:val="0"/>
                <w:i w:val="0"/>
                <w:sz w:val="18"/>
              </w:rPr>
              <w:t>median</w:t>
            </w:r>
          </w:p>
        </w:tc>
        <w:tc>
          <w:tcPr>
            <w:tcW w:type="dxa" w:w="3173"/>
            <w:vAlign w:val="center"/>
            <w:tcMar>
              <w:top w:w="90" w:type="dxa"/>
              <w:left w:w="90" w:type="dxa"/>
              <w:bottom w:w="90" w:type="dxa"/>
              <w:right w:w="90" w:type="dxa"/>
            </w:tcMar>
          </w:tcPr>
          <w:p>
            <w:pPr>
              <w:spacing w:after="40" w:line="276" w:lineRule="auto"/>
            </w:pPr>
            <w:r>
              <w:rPr>
                <w:b w:val="0"/>
                <w:i w:val="0"/>
                <w:sz w:val="18"/>
              </w:rPr>
              <w:t>选择阶段时间中位数或均值</w:t>
            </w:r>
          </w:p>
        </w:tc>
      </w:tr>
      <w:tr>
        <w:trPr>
          <w:cantSplit/>
        </w:trPr>
        <w:tc>
          <w:tcPr>
            <w:tcW w:type="dxa" w:w="3627"/>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planning.defer_​spread_​years</w:t>
            </w:r>
          </w:p>
        </w:tc>
        <w:tc>
          <w:tcPr>
            <w:tcW w:type="dxa" w:w="2992"/>
            <w:vAlign w:val="center"/>
            <w:tcMar>
              <w:top w:w="90" w:type="dxa"/>
              <w:left w:w="90" w:type="dxa"/>
              <w:bottom w:w="90" w:type="dxa"/>
              <w:right w:w="90" w:type="dxa"/>
            </w:tcMar>
          </w:tcPr>
          <w:p>
            <w:pPr>
              <w:spacing w:after="40" w:line="276" w:lineRule="auto"/>
            </w:pPr>
            <w:r>
              <w:rPr>
                <w:b w:val="0"/>
                <w:i w:val="0"/>
                <w:sz w:val="18"/>
              </w:rPr>
              <w:t>3 年</w:t>
            </w:r>
          </w:p>
        </w:tc>
        <w:tc>
          <w:tcPr>
            <w:tcW w:type="dxa" w:w="3173"/>
            <w:vAlign w:val="center"/>
            <w:tcMar>
              <w:top w:w="90" w:type="dxa"/>
              <w:left w:w="90" w:type="dxa"/>
              <w:bottom w:w="90" w:type="dxa"/>
              <w:right w:w="90" w:type="dxa"/>
            </w:tcMar>
          </w:tcPr>
          <w:p>
            <w:pPr>
              <w:spacing w:after="40" w:line="276" w:lineRule="auto"/>
            </w:pPr>
            <w:r>
              <w:rPr>
                <w:b w:val="0"/>
                <w:i w:val="0"/>
                <w:sz w:val="18"/>
              </w:rPr>
              <w:t>推算完成日期的最大附加延期</w:t>
            </w:r>
          </w:p>
        </w:tc>
      </w:tr>
      <w:tr>
        <w:trPr>
          <w:cantSplit/>
        </w:trPr>
        <w:tc>
          <w:tcPr>
            <w:tcW w:type="dxa" w:w="3627"/>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planning.random_seed</w:t>
            </w:r>
          </w:p>
        </w:tc>
        <w:tc>
          <w:tcPr>
            <w:tcW w:type="dxa" w:w="2992"/>
            <w:vAlign w:val="center"/>
            <w:tcMar>
              <w:top w:w="90" w:type="dxa"/>
              <w:left w:w="90" w:type="dxa"/>
              <w:bottom w:w="90" w:type="dxa"/>
              <w:right w:w="90" w:type="dxa"/>
            </w:tcMar>
          </w:tcPr>
          <w:p>
            <w:pPr>
              <w:spacing w:after="40" w:line="276" w:lineRule="auto"/>
            </w:pPr>
            <w:r>
              <w:rPr>
                <w:b w:val="0"/>
                <w:i w:val="0"/>
                <w:sz w:val="18"/>
              </w:rPr>
              <w:t>0</w:t>
            </w:r>
          </w:p>
        </w:tc>
        <w:tc>
          <w:tcPr>
            <w:tcW w:type="dxa" w:w="3173"/>
            <w:vAlign w:val="center"/>
            <w:tcMar>
              <w:top w:w="90" w:type="dxa"/>
              <w:left w:w="90" w:type="dxa"/>
              <w:bottom w:w="90" w:type="dxa"/>
              <w:right w:w="90" w:type="dxa"/>
            </w:tcMar>
          </w:tcPr>
          <w:p>
            <w:pPr>
              <w:spacing w:after="40" w:line="276" w:lineRule="auto"/>
            </w:pPr>
            <w:r>
              <w:rPr>
                <w:b w:val="0"/>
                <w:i w:val="0"/>
                <w:sz w:val="18"/>
              </w:rPr>
              <w:t>项目成功率抽样的输入</w:t>
            </w:r>
          </w:p>
        </w:tc>
      </w:tr>
      <w:tr>
        <w:trPr>
          <w:cantSplit/>
        </w:trPr>
        <w:tc>
          <w:tcPr>
            <w:tcW w:type="dxa" w:w="3627"/>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planning.repd_​battery_​assignment</w:t>
            </w:r>
          </w:p>
        </w:tc>
        <w:tc>
          <w:tcPr>
            <w:tcW w:type="dxa" w:w="2992"/>
            <w:vAlign w:val="center"/>
            <w:tcMar>
              <w:top w:w="90" w:type="dxa"/>
              <w:left w:w="90" w:type="dxa"/>
              <w:bottom w:w="90" w:type="dxa"/>
              <w:right w:w="90" w:type="dxa"/>
            </w:tcMar>
          </w:tcPr>
          <w:p>
            <w:pPr>
              <w:spacing w:after="40" w:line="276" w:lineRule="auto"/>
            </w:pPr>
            <w:r>
              <w:rPr>
                <w:rFonts w:ascii="DejaVu Sans Mono" w:hAnsi="DejaVu Sans Mono"/>
                <w:b w:val="0"/>
                <w:i w:val="0"/>
                <w:sz w:val="18"/>
              </w:rPr>
              <w:t>value_​proportional_​split</w:t>
            </w:r>
          </w:p>
        </w:tc>
        <w:tc>
          <w:tcPr>
            <w:tcW w:type="dxa" w:w="3173"/>
            <w:vAlign w:val="center"/>
            <w:tcMar>
              <w:top w:w="90" w:type="dxa"/>
              <w:left w:w="90" w:type="dxa"/>
              <w:bottom w:w="90" w:type="dxa"/>
              <w:right w:w="90" w:type="dxa"/>
            </w:tcMar>
          </w:tcPr>
          <w:p>
            <w:pPr>
              <w:spacing w:after="40" w:line="276" w:lineRule="auto"/>
            </w:pPr>
            <w:r>
              <w:rPr>
                <w:b w:val="0"/>
                <w:i w:val="0"/>
                <w:sz w:val="18"/>
              </w:rPr>
              <w:t>将通用电池容量分至四类储能</w:t>
            </w:r>
          </w:p>
        </w:tc>
      </w:tr>
    </w:tbl>
    <w:p>
      <w:pPr>
        <w:spacing w:after="20"/>
      </w:pPr>
    </w:p>
    <w:p>
      <w:r>
        <w:rPr>
          <w:b w:val="0"/>
          <w:i w:val="0"/>
        </w:rPr>
        <w:t xml:space="preserve">替代申请取代其旧项目记录。预处理读取 REPD 原表的 </w:t>
      </w:r>
      <w:r>
        <w:rPr>
          <w:rFonts w:ascii="DejaVu Sans Mono" w:hAnsi="DejaVu Sans Mono"/>
          <w:b w:val="0"/>
          <w:i w:val="0"/>
          <w:sz w:val="17"/>
        </w:rPr>
        <w:t>Ref ID</w:t>
      </w:r>
      <w:r>
        <w:rPr>
          <w:b w:val="0"/>
          <w:i w:val="0"/>
        </w:rPr>
        <w:t xml:space="preserve"> 与 </w:t>
      </w:r>
      <w:r>
        <w:rPr>
          <w:rFonts w:ascii="DejaVu Sans Mono" w:hAnsi="DejaVu Sans Mono"/>
          <w:b w:val="0"/>
          <w:i w:val="0"/>
          <w:sz w:val="17"/>
        </w:rPr>
        <w:t>Are they re-applying (New REPD Ref)</w:t>
      </w:r>
      <w:r>
        <w:rPr>
          <w:b w:val="0"/>
          <w:i w:val="0"/>
        </w:rPr>
        <w:t xml:space="preserve">；后者给出不同于原标识、非空且确实存在于原表的替代标识时，移除旧记录。容量低于 </w:t>
      </w:r>
      <w:r>
        <w:rPr>
          <w:rFonts w:ascii="DejaVu Sans Mono" w:hAnsi="DejaVu Sans Mono"/>
          <w:b w:val="0"/>
          <w:i w:val="0"/>
          <w:sz w:val="17"/>
        </w:rPr>
        <w:t>minimum_size</w:t>
      </w:r>
      <w:r>
        <w:rPr>
          <w:b w:val="0"/>
          <w:i w:val="0"/>
        </w:rPr>
        <w:t>、容量非正或无法解析的记录也被移除。</w:t>
      </w:r>
    </w:p>
    <w:p>
      <w:r>
        <w:rPr>
          <w:b w:val="0"/>
          <w:i w:val="0"/>
        </w:rPr>
        <w:t>开发状态按去除两端空白并转为小写后的标签筛选。</w:t>
      </w:r>
      <w:r>
        <w:rPr>
          <w:rFonts w:ascii="DejaVu Sans Mono" w:hAnsi="DejaVu Sans Mono"/>
          <w:b w:val="0"/>
          <w:i w:val="0"/>
          <w:sz w:val="17"/>
        </w:rPr>
        <w:t>terminal_statuses</w:t>
      </w:r>
      <w:r>
        <w:rPr>
          <w:b w:val="0"/>
          <w:i w:val="0"/>
        </w:rPr>
        <w:t xml:space="preserve"> 始终移除 </w:t>
      </w:r>
      <w:r>
        <w:rPr>
          <w:rFonts w:ascii="DejaVu Sans Mono" w:hAnsi="DejaVu Sans Mono"/>
          <w:b w:val="0"/>
          <w:i w:val="0"/>
          <w:sz w:val="17"/>
        </w:rPr>
        <w:t>operational</w:t>
      </w:r>
      <w:r>
        <w:rPr>
          <w:b w:val="0"/>
          <w:i w:val="0"/>
        </w:rPr>
        <w:t>、</w:t>
      </w:r>
      <w:r>
        <w:rPr>
          <w:rFonts w:ascii="DejaVu Sans Mono" w:hAnsi="DejaVu Sans Mono"/>
          <w:b w:val="0"/>
          <w:i w:val="0"/>
          <w:sz w:val="17"/>
        </w:rPr>
        <w:t>abandoned</w:t>
      </w:r>
      <w:r>
        <w:rPr>
          <w:b w:val="0"/>
          <w:i w:val="0"/>
        </w:rPr>
        <w:t>、</w:t>
      </w:r>
      <w:r>
        <w:rPr>
          <w:rFonts w:ascii="DejaVu Sans Mono" w:hAnsi="DejaVu Sans Mono"/>
          <w:b w:val="0"/>
          <w:i w:val="0"/>
          <w:sz w:val="17"/>
        </w:rPr>
        <w:t>planning permission refused</w:t>
      </w:r>
      <w:r>
        <w:rPr>
          <w:b w:val="0"/>
          <w:i w:val="0"/>
        </w:rPr>
        <w:t>、</w:t>
      </w:r>
      <w:r>
        <w:rPr>
          <w:rFonts w:ascii="DejaVu Sans Mono" w:hAnsi="DejaVu Sans Mono"/>
          <w:b w:val="0"/>
          <w:i w:val="0"/>
          <w:sz w:val="17"/>
        </w:rPr>
        <w:t>application withdrawn</w:t>
      </w:r>
      <w:r>
        <w:rPr>
          <w:b w:val="0"/>
          <w:i w:val="0"/>
        </w:rPr>
        <w:t>。</w:t>
      </w:r>
      <w:r>
        <w:rPr>
          <w:rFonts w:ascii="DejaVu Sans Mono" w:hAnsi="DejaVu Sans Mono"/>
          <w:b w:val="0"/>
          <w:i w:val="0"/>
          <w:sz w:val="17"/>
        </w:rPr>
        <w:t>zombie_filter=true</w:t>
      </w:r>
      <w:r>
        <w:rPr>
          <w:b w:val="0"/>
          <w:i w:val="0"/>
        </w:rPr>
        <w:t xml:space="preserve"> 时还移除 </w:t>
      </w:r>
      <w:r>
        <w:rPr>
          <w:rFonts w:ascii="DejaVu Sans Mono" w:hAnsi="DejaVu Sans Mono"/>
          <w:b w:val="0"/>
          <w:i w:val="0"/>
          <w:sz w:val="17"/>
        </w:rPr>
        <w:t>application refused</w:t>
      </w:r>
      <w:r>
        <w:rPr>
          <w:b w:val="0"/>
          <w:i w:val="0"/>
        </w:rPr>
        <w:t>、</w:t>
      </w:r>
      <w:r>
        <w:rPr>
          <w:rFonts w:ascii="DejaVu Sans Mono" w:hAnsi="DejaVu Sans Mono"/>
          <w:b w:val="0"/>
          <w:i w:val="0"/>
          <w:sz w:val="17"/>
        </w:rPr>
        <w:t>appeal refused</w:t>
      </w:r>
      <w:r>
        <w:rPr>
          <w:b w:val="0"/>
          <w:i w:val="0"/>
        </w:rPr>
        <w:t>、</w:t>
      </w:r>
      <w:r>
        <w:rPr>
          <w:rFonts w:ascii="DejaVu Sans Mono" w:hAnsi="DejaVu Sans Mono"/>
          <w:b w:val="0"/>
          <w:i w:val="0"/>
          <w:sz w:val="17"/>
        </w:rPr>
        <w:t>appeal withdrawn</w:t>
      </w:r>
      <w:r>
        <w:rPr>
          <w:b w:val="0"/>
          <w:i w:val="0"/>
        </w:rPr>
        <w:t>、</w:t>
      </w:r>
      <w:r>
        <w:rPr>
          <w:rFonts w:ascii="DejaVu Sans Mono" w:hAnsi="DejaVu Sans Mono"/>
          <w:b w:val="0"/>
          <w:i w:val="0"/>
          <w:sz w:val="17"/>
        </w:rPr>
        <w:t>decommissioned</w:t>
      </w:r>
      <w:r>
        <w:rPr>
          <w:b w:val="0"/>
          <w:i w:val="0"/>
        </w:rPr>
        <w:t>、</w:t>
      </w:r>
      <w:r>
        <w:rPr>
          <w:rFonts w:ascii="DejaVu Sans Mono" w:hAnsi="DejaVu Sans Mono"/>
          <w:b w:val="0"/>
          <w:i w:val="0"/>
          <w:sz w:val="17"/>
        </w:rPr>
        <w:t>application expired</w:t>
      </w:r>
      <w:r>
        <w:rPr>
          <w:b w:val="0"/>
          <w:i w:val="0"/>
        </w:rPr>
        <w:t>、</w:t>
      </w:r>
      <w:r>
        <w:rPr>
          <w:rFonts w:ascii="DejaVu Sans Mono" w:hAnsi="DejaVu Sans Mono"/>
          <w:b w:val="0"/>
          <w:i w:val="0"/>
          <w:sz w:val="17"/>
        </w:rPr>
        <w:t>finished</w:t>
      </w:r>
      <w:r>
        <w:rPr>
          <w:b w:val="0"/>
          <w:i w:val="0"/>
        </w:rPr>
        <w:t xml:space="preserve">。设置 </w:t>
      </w:r>
      <w:r>
        <w:rPr>
          <w:rFonts w:ascii="DejaVu Sans Mono" w:hAnsi="DejaVu Sans Mono"/>
          <w:b w:val="0"/>
          <w:i w:val="0"/>
          <w:sz w:val="17"/>
        </w:rPr>
        <w:t>include_uncertain=false</w:t>
      </w:r>
      <w:r>
        <w:rPr>
          <w:b w:val="0"/>
          <w:i w:val="0"/>
        </w:rPr>
        <w:t xml:space="preserve"> 后，仅保留 </w:t>
      </w:r>
      <w:r>
        <w:rPr>
          <w:rFonts w:ascii="DejaVu Sans Mono" w:hAnsi="DejaVu Sans Mono"/>
          <w:b w:val="0"/>
          <w:i w:val="0"/>
          <w:sz w:val="17"/>
        </w:rPr>
        <w:t>under construction</w:t>
      </w:r>
      <w:r>
        <w:rPr>
          <w:b w:val="0"/>
          <w:i w:val="0"/>
        </w:rPr>
        <w:t>、</w:t>
      </w:r>
      <w:r>
        <w:rPr>
          <w:rFonts w:ascii="DejaVu Sans Mono" w:hAnsi="DejaVu Sans Mono"/>
          <w:b w:val="0"/>
          <w:i w:val="0"/>
          <w:sz w:val="17"/>
        </w:rPr>
        <w:t>awaiting construction</w:t>
      </w:r>
      <w:r>
        <w:rPr>
          <w:b w:val="0"/>
          <w:i w:val="0"/>
        </w:rPr>
        <w:t>、</w:t>
      </w:r>
      <w:r>
        <w:rPr>
          <w:rFonts w:ascii="DejaVu Sans Mono" w:hAnsi="DejaVu Sans Mono"/>
          <w:b w:val="0"/>
          <w:i w:val="0"/>
          <w:sz w:val="17"/>
        </w:rPr>
        <w:t>planning permission granted</w:t>
      </w:r>
      <w:r>
        <w:rPr>
          <w:b w:val="0"/>
          <w:i w:val="0"/>
        </w:rPr>
        <w:t>。</w:t>
      </w:r>
    </w:p>
    <w:p>
      <w:r>
        <w:rPr>
          <w:b w:val="0"/>
          <w:i w:val="0"/>
        </w:rPr>
        <w:t xml:space="preserve">进展年份筛选作用于 </w:t>
      </w:r>
      <w:r>
        <w:rPr>
          <w:rFonts w:ascii="DejaVu Sans Mono" w:hAnsi="DejaVu Sans Mono"/>
          <w:b w:val="0"/>
          <w:i w:val="0"/>
          <w:sz w:val="17"/>
        </w:rPr>
        <w:t>application submitted</w:t>
      </w:r>
      <w:r>
        <w:rPr>
          <w:b w:val="0"/>
          <w:i w:val="0"/>
        </w:rPr>
        <w:t>、</w:t>
      </w:r>
      <w:r>
        <w:rPr>
          <w:rFonts w:ascii="DejaVu Sans Mono" w:hAnsi="DejaVu Sans Mono"/>
          <w:b w:val="0"/>
          <w:i w:val="0"/>
          <w:sz w:val="17"/>
        </w:rPr>
        <w:t>appeal lodged</w:t>
      </w:r>
      <w:r>
        <w:rPr>
          <w:b w:val="0"/>
          <w:i w:val="0"/>
        </w:rPr>
        <w:t>、</w:t>
      </w:r>
      <w:r>
        <w:rPr>
          <w:rFonts w:ascii="DejaVu Sans Mono" w:hAnsi="DejaVu Sans Mono"/>
          <w:b w:val="0"/>
          <w:i w:val="0"/>
          <w:sz w:val="17"/>
        </w:rPr>
        <w:t>revised</w:t>
      </w:r>
      <w:r>
        <w:rPr>
          <w:b w:val="0"/>
          <w:i w:val="0"/>
        </w:rPr>
        <w:t>。</w:t>
      </w:r>
      <w:r>
        <w:rPr>
          <w:rFonts w:ascii="DejaVu Sans Mono" w:hAnsi="DejaVu Sans Mono"/>
          <w:b w:val="0"/>
          <w:i w:val="0"/>
          <w:sz w:val="17"/>
        </w:rPr>
        <w:t>_date_year</w:t>
      </w:r>
      <w:r>
        <w:rPr>
          <w:b w:val="0"/>
          <w:i w:val="0"/>
        </w:rPr>
        <w:t xml:space="preserve"> 从日期字符串提取首个以 19 或 20 开头的四位年份，缺少年份时返回 </w:t>
      </w:r>
      <w:r>
        <w:rPr>
          <w:rFonts w:ascii="DejaVu Sans Mono" w:hAnsi="DejaVu Sans Mono"/>
          <w:b w:val="0"/>
          <w:i w:val="0"/>
          <w:sz w:val="17"/>
        </w:rPr>
        <w:t>None</w:t>
      </w:r>
      <w:r>
        <w:rPr>
          <w:b w:val="0"/>
          <w:i w:val="0"/>
        </w:rPr>
        <w:t>；</w:t>
      </w:r>
      <w:r>
        <w:rPr>
          <w:rFonts w:ascii="DejaVu Sans Mono" w:hAnsi="DejaVu Sans Mono"/>
          <w:b w:val="0"/>
          <w:i w:val="0"/>
          <w:sz w:val="17"/>
        </w:rPr>
        <w:t>latest_progress_year</w:t>
      </w:r>
      <w:r>
        <w:rPr>
          <w:b w:val="0"/>
          <w:i w:val="0"/>
        </w:rPr>
        <w:t xml:space="preserve"> 再取 </w:t>
      </w:r>
      <w:r>
        <w:rPr>
          <w:rFonts w:ascii="DejaVu Sans Mono" w:hAnsi="DejaVu Sans Mono"/>
          <w:b w:val="0"/>
          <w:i w:val="0"/>
          <w:sz w:val="17"/>
        </w:rPr>
        <w:t>planning_​application_​submitted</w:t>
      </w:r>
      <w:r>
        <w:rPr>
          <w:b w:val="0"/>
          <w:i w:val="0"/>
        </w:rPr>
        <w:t>、</w:t>
      </w:r>
      <w:r>
        <w:rPr>
          <w:rFonts w:ascii="DejaVu Sans Mono" w:hAnsi="DejaVu Sans Mono"/>
          <w:b w:val="0"/>
          <w:i w:val="0"/>
          <w:sz w:val="17"/>
        </w:rPr>
        <w:t>planning_​permission_​granted</w:t>
      </w:r>
      <w:r>
        <w:rPr>
          <w:b w:val="0"/>
          <w:i w:val="0"/>
        </w:rPr>
        <w:t>、</w:t>
      </w:r>
      <w:r>
        <w:rPr>
          <w:rFonts w:ascii="DejaVu Sans Mono" w:hAnsi="DejaVu Sans Mono"/>
          <w:b w:val="0"/>
          <w:i w:val="0"/>
          <w:sz w:val="17"/>
        </w:rPr>
        <w:t>under_construction</w:t>
      </w:r>
      <w:r>
        <w:rPr>
          <w:b w:val="0"/>
          <w:i w:val="0"/>
        </w:rPr>
        <w:t>、</w:t>
      </w:r>
      <w:r>
        <w:rPr>
          <w:rFonts w:ascii="DejaVu Sans Mono" w:hAnsi="DejaVu Sans Mono"/>
          <w:b w:val="0"/>
          <w:i w:val="0"/>
          <w:sz w:val="17"/>
        </w:rPr>
        <w:t>operational</w:t>
      </w:r>
      <w:r>
        <w:rPr>
          <w:b w:val="0"/>
          <w:i w:val="0"/>
        </w:rPr>
        <w:t xml:space="preserve"> 中最近的已知年份。进展筛选启用时，该年份早于或等于 </w:t>
      </w:r>
      <w:r>
        <w:rPr>
          <w:rFonts w:ascii="DejaVu Sans Mono" w:hAnsi="DejaVu Sans Mono"/>
          <w:b w:val="0"/>
          <w:i w:val="0"/>
          <w:sz w:val="17"/>
        </w:rPr>
        <w:t>zombie_stale_year</w:t>
      </w:r>
      <w:r>
        <w:rPr>
          <w:b w:val="0"/>
          <w:i w:val="0"/>
        </w:rPr>
        <w:t xml:space="preserve"> 的不确定项目被移除；进展年份缺失的项目通过此项筛选。</w:t>
      </w:r>
    </w:p>
    <w:p>
      <w:r>
        <w:rPr>
          <w:b w:val="0"/>
          <w:i w:val="0"/>
        </w:rPr>
        <w:t>完成年份优先采用记录中的未来年份，其余项目按剩余阶段时间推算。</w:t>
      </w:r>
      <w:r>
        <w:rPr>
          <w:rFonts w:ascii="DejaVu Sans Mono" w:hAnsi="DejaVu Sans Mono"/>
          <w:b w:val="0"/>
          <w:i w:val="0"/>
          <w:sz w:val="17"/>
        </w:rPr>
        <w:t>timeline_​months(source_​technology, status)</w:t>
      </w:r>
      <w:r>
        <w:rPr>
          <w:b w:val="0"/>
          <w:i w:val="0"/>
        </w:rPr>
        <w:t xml:space="preserve"> 从 </w:t>
      </w:r>
      <w:r>
        <w:rPr>
          <w:rFonts w:ascii="DejaVu Sans Mono" w:hAnsi="DejaVu Sans Mono"/>
          <w:b w:val="0"/>
          <w:i w:val="0"/>
          <w:sz w:val="17"/>
        </w:rPr>
        <w:t>repd_status_to_timeline</w:t>
      </w:r>
      <w:r>
        <w:rPr>
          <w:b w:val="0"/>
          <w:i w:val="0"/>
        </w:rPr>
        <w:t xml:space="preserve"> 选择 </w:t>
      </w:r>
      <w:r>
        <w:rPr>
          <w:rFonts w:ascii="DejaVu Sans Mono" w:hAnsi="DejaVu Sans Mono"/>
          <w:b w:val="0"/>
          <w:i w:val="0"/>
          <w:sz w:val="17"/>
        </w:rPr>
        <w:t>timeline_type</w:t>
      </w:r>
      <w:r>
        <w:rPr>
          <w:b w:val="0"/>
          <w:i w:val="0"/>
        </w:rPr>
        <w:t xml:space="preserve">，将其均值或中位数后缀换为 </w:t>
      </w:r>
      <w:r>
        <w:rPr>
          <w:rFonts w:ascii="DejaVu Sans Mono" w:hAnsi="DejaVu Sans Mono"/>
          <w:b w:val="0"/>
          <w:i w:val="0"/>
          <w:sz w:val="17"/>
        </w:rPr>
        <w:t>timeline_statistic</w:t>
      </w:r>
      <w:r>
        <w:rPr>
          <w:b w:val="0"/>
          <w:i w:val="0"/>
        </w:rPr>
        <w:t xml:space="preserve">，再读取 </w:t>
      </w:r>
      <w:r>
        <w:rPr>
          <w:rFonts w:ascii="DejaVu Sans Mono" w:hAnsi="DejaVu Sans Mono"/>
          <w:b w:val="0"/>
          <w:i w:val="0"/>
          <w:sz w:val="17"/>
        </w:rPr>
        <w:t>development_​stage_​timelines</w:t>
      </w:r>
      <w:r>
        <w:rPr>
          <w:b w:val="0"/>
          <w:i w:val="0"/>
        </w:rPr>
        <w:t xml:space="preserve"> 中对应技术的数值。状态映射缺失时默认采用 </w:t>
      </w:r>
      <w:r>
        <w:rPr>
          <w:rFonts w:ascii="DejaVu Sans Mono" w:hAnsi="DejaVu Sans Mono"/>
          <w:b w:val="0"/>
          <w:i w:val="0"/>
          <w:sz w:val="17"/>
        </w:rPr>
        <w:t>total_median</w:t>
      </w:r>
      <w:r>
        <w:rPr>
          <w:b w:val="0"/>
          <w:i w:val="0"/>
        </w:rPr>
        <w:t xml:space="preserve">；阶段条目缺失时采用 </w:t>
      </w:r>
      <w:r>
        <w:rPr>
          <w:rFonts w:ascii="DejaVu Sans Mono" w:hAnsi="DejaVu Sans Mono"/>
          <w:b w:val="0"/>
          <w:i w:val="0"/>
          <w:sz w:val="17"/>
        </w:rPr>
        <w:t>development_timelines</w:t>
      </w:r>
      <w:r>
        <w:rPr>
          <w:b w:val="0"/>
          <w:i w:val="0"/>
        </w:rPr>
        <w:t>，最终缺省值为 12 个月。储能组件采用电池阶段时间表。</w:t>
      </w:r>
    </w:p>
    <w:p>
      <w:r>
        <w:rPr>
          <w:b w:val="0"/>
          <w:i w:val="0"/>
        </w:rPr>
        <w:t xml:space="preserve">推算完成日期附加零至 </w:t>
      </w:r>
      <w:r>
        <w:rPr>
          <w:rFonts w:ascii="DejaVu Sans Mono" w:hAnsi="DejaVu Sans Mono"/>
          <w:b w:val="0"/>
          <w:i w:val="0"/>
          <w:sz w:val="17"/>
        </w:rPr>
        <w:t>defer_spread_years</w:t>
      </w:r>
      <w:r>
        <w:rPr>
          <w:b w:val="0"/>
          <w:i w:val="0"/>
        </w:rPr>
        <w:t xml:space="preserve"> 个整年的确定性延期。下列步骤由源项目的 </w:t>
      </w:r>
      <w:r>
        <w:rPr>
          <w:rFonts w:ascii="DejaVu Sans Mono" w:hAnsi="DejaVu Sans Mono"/>
          <w:b w:val="0"/>
          <w:i w:val="0"/>
          <w:sz w:val="17"/>
        </w:rPr>
        <w:t>project_id</w:t>
      </w:r>
      <w:r>
        <w:rPr>
          <w:b w:val="0"/>
          <w:i w:val="0"/>
        </w:rPr>
        <w:t xml:space="preserve"> 计算延期；已经给定未来日期的项目直接采用该日期。</w:t>
      </w:r>
    </w:p>
    <w:p>
      <w:pPr>
        <w:keepLines/>
        <w:spacing w:line="276" w:lineRule="auto" w:after="160"/>
      </w:pPr>
      <w:r>
        <w:rPr>
          <w:rFonts w:ascii="DejaVu Sans Mono" w:hAnsi="DejaVu Sans Mono"/>
          <w:b w:val="0"/>
          <w:i w:val="0"/>
          <w:sz w:val="17"/>
        </w:rPr>
        <w:t>completion = next((candidate for candidate in (</w:t>
        <w:br/>
        <w:t xml:space="preserve">    _​date_​year(row.get("operational")),</w:t>
        <w:br/>
        <w:t xml:space="preserve">    _​date_​year(row.get("under_construction")),</w:t>
        <w:br/>
        <w:t>) if candidate is not None and candidate &gt; year), None)</w:t>
        <w:br/>
        <w:t>if completion is None:</w:t>
        <w:br/>
        <w:t xml:space="preserve">    months = timeline_​months(source_​technology, status)</w:t>
        <w:br/>
        <w:t xml:space="preserve">    completion = year + max(1, int(math.ceil(months / 12.0)))</w:t>
        <w:br/>
        <w:t xml:space="preserve">    if defer_spread_years &gt; 0:</w:t>
        <w:br/>
        <w:t xml:space="preserve">        completion += int(</w:t>
        <w:br/>
        <w:t xml:space="preserve">            hashlib.sha256(project_​id.encode("utf-8")).hexdigest()[:8], 16</w:t>
        <w:br/>
        <w:t xml:space="preserve">        ) % (defer_spread_years + 1)</w:t>
        <w:br/>
      </w:r>
    </w:p>
    <w:p>
      <w:r>
        <w:rPr>
          <w:b w:val="0"/>
          <w:i w:val="0"/>
        </w:rPr>
        <w:t xml:space="preserve">施工中项目另作历时检查。对于状态为 </w:t>
      </w:r>
      <w:r>
        <w:rPr>
          <w:rFonts w:ascii="DejaVu Sans Mono" w:hAnsi="DejaVu Sans Mono"/>
          <w:b w:val="0"/>
          <w:i w:val="0"/>
          <w:sz w:val="17"/>
        </w:rPr>
        <w:t>under construction</w:t>
      </w:r>
      <w:r>
        <w:rPr>
          <w:b w:val="0"/>
          <w:i w:val="0"/>
        </w:rPr>
        <w:t xml:space="preserve"> 且 </w:t>
      </w:r>
      <w:r>
        <w:rPr>
          <w:rFonts w:ascii="DejaVu Sans Mono" w:hAnsi="DejaVu Sans Mono"/>
          <w:b w:val="0"/>
          <w:i w:val="0"/>
          <w:sz w:val="17"/>
        </w:rPr>
        <w:t>construction_year</w:t>
      </w:r>
      <w:r>
        <w:rPr>
          <w:b w:val="0"/>
          <w:i w:val="0"/>
        </w:rPr>
        <w:t xml:space="preserve"> 已知的项目，预处理计算 </w:t>
      </w:r>
      <w:r>
        <w:rPr>
          <w:rFonts w:ascii="DejaVu Sans Mono" w:hAnsi="DejaVu Sans Mono"/>
          <w:b w:val="0"/>
          <w:i w:val="0"/>
          <w:sz w:val="17"/>
        </w:rPr>
        <w:t>construction_end = construction_year + max(1, math.ceil(timeline_​months(source_​technology, status) / 12)) + construction_grace</w:t>
      </w:r>
      <w:r>
        <w:rPr>
          <w:b w:val="0"/>
          <w:i w:val="0"/>
        </w:rPr>
        <w:t>。</w:t>
      </w:r>
      <w:r>
        <w:rPr>
          <w:rFonts w:ascii="DejaVu Sans Mono" w:hAnsi="DejaVu Sans Mono"/>
          <w:b w:val="0"/>
          <w:i w:val="0"/>
          <w:sz w:val="17"/>
        </w:rPr>
        <w:t>zombie_filter=true</w:t>
      </w:r>
      <w:r>
        <w:rPr>
          <w:b w:val="0"/>
          <w:i w:val="0"/>
        </w:rPr>
        <w:t xml:space="preserve"> 且该值早于 </w:t>
      </w:r>
      <w:r>
        <w:rPr>
          <w:rFonts w:ascii="DejaVu Sans Mono" w:hAnsi="DejaVu Sans Mono"/>
          <w:b w:val="0"/>
          <w:i w:val="0"/>
          <w:sz w:val="17"/>
        </w:rPr>
        <w:t>year</w:t>
      </w:r>
      <w:r>
        <w:rPr>
          <w:b w:val="0"/>
          <w:i w:val="0"/>
        </w:rPr>
        <w:t xml:space="preserve"> 时移除项目；</w:t>
      </w:r>
      <w:r>
        <w:rPr>
          <w:rFonts w:ascii="DejaVu Sans Mono" w:hAnsi="DejaVu Sans Mono"/>
          <w:b w:val="0"/>
          <w:i w:val="0"/>
          <w:sz w:val="17"/>
        </w:rPr>
        <w:t>completion</w:t>
      </w:r>
      <w:r>
        <w:rPr>
          <w:b w:val="0"/>
          <w:i w:val="0"/>
        </w:rPr>
        <w:t xml:space="preserve"> 晚于 </w:t>
      </w:r>
      <w:r>
        <w:rPr>
          <w:rFonts w:ascii="DejaVu Sans Mono" w:hAnsi="DejaVu Sans Mono"/>
          <w:b w:val="0"/>
          <w:i w:val="0"/>
          <w:sz w:val="17"/>
        </w:rPr>
        <w:t>maximum_completion</w:t>
      </w:r>
      <w:r>
        <w:rPr>
          <w:b w:val="0"/>
          <w:i w:val="0"/>
        </w:rPr>
        <w:t xml:space="preserve"> 的项目也被移除。</w:t>
      </w:r>
    </w:p>
    <w:p>
      <w:r>
        <w:rPr>
          <w:b w:val="0"/>
          <w:i w:val="0"/>
        </w:rPr>
        <w:t>初始项目成功率按技术和地区查表。</w:t>
      </w:r>
      <w:r>
        <w:rPr>
          <w:rFonts w:ascii="DejaVu Sans Mono" w:hAnsi="DejaVu Sans Mono"/>
          <w:b w:val="0"/>
          <w:i w:val="0"/>
          <w:sz w:val="17"/>
        </w:rPr>
        <w:t>_planning_probability</w:t>
      </w:r>
      <w:r>
        <w:rPr>
          <w:b w:val="0"/>
          <w:i w:val="0"/>
        </w:rPr>
        <w:t xml:space="preserve"> 读取 </w:t>
      </w:r>
      <w:r>
        <w:rPr>
          <w:rFonts w:ascii="DejaVu Sans Mono" w:hAnsi="DejaVu Sans Mono"/>
          <w:b w:val="0"/>
          <w:i w:val="0"/>
          <w:sz w:val="17"/>
        </w:rPr>
        <w:t>technology</w:t>
      </w:r>
      <w:r>
        <w:rPr>
          <w:b w:val="0"/>
          <w:i w:val="0"/>
        </w:rPr>
        <w:t>、</w:t>
      </w:r>
      <w:r>
        <w:rPr>
          <w:rFonts w:ascii="DejaVu Sans Mono" w:hAnsi="DejaVu Sans Mono"/>
          <w:b w:val="0"/>
          <w:i w:val="0"/>
          <w:sz w:val="17"/>
        </w:rPr>
        <w:t>region</w:t>
      </w:r>
      <w:r>
        <w:rPr>
          <w:b w:val="0"/>
          <w:i w:val="0"/>
        </w:rPr>
        <w:t>、</w:t>
      </w:r>
      <w:r>
        <w:rPr>
          <w:rFonts w:ascii="DejaVu Sans Mono" w:hAnsi="DejaVu Sans Mono"/>
          <w:b w:val="0"/>
          <w:i w:val="0"/>
          <w:sz w:val="17"/>
        </w:rPr>
        <w:t>success_rate</w:t>
      </w:r>
      <w:r>
        <w:rPr>
          <w:b w:val="0"/>
          <w:i w:val="0"/>
        </w:rPr>
        <w:t xml:space="preserve">，将可解析的成功率限制在 [0,1]，跳过无法解析的值；缺少必要列时，成功率表为空。查询时先查项目地区的小写标签，再查同技术的 </w:t>
      </w:r>
      <w:r>
        <w:rPr>
          <w:rFonts w:ascii="DejaVu Sans Mono" w:hAnsi="DejaVu Sans Mono"/>
          <w:b w:val="0"/>
          <w:i w:val="0"/>
          <w:sz w:val="17"/>
        </w:rPr>
        <w:t>gb</w:t>
      </w:r>
      <w:r>
        <w:rPr>
          <w:b w:val="0"/>
          <w:i w:val="0"/>
        </w:rPr>
        <w:t xml:space="preserve"> 条目，最终缺省为 1.0。下式给出成功率 </w:t>
      </w:r>
      <w:r>
        <w:rPr>
          <w:rFonts w:ascii="DejaVu Sans Mono" w:hAnsi="DejaVu Sans Mono"/>
          <w:b w:val="0"/>
          <w:i w:val="0"/>
          <w:sz w:val="17"/>
        </w:rPr>
        <w:t>probability</w:t>
      </w:r>
      <w:r>
        <w:rPr>
          <w:b w:val="0"/>
          <w:i w:val="0"/>
        </w:rPr>
        <w:t xml:space="preserve">、无量纲抽样值 </w:t>
      </w:r>
      <w:r>
        <w:rPr>
          <w:rFonts w:ascii="DejaVu Sans Mono" w:hAnsi="DejaVu Sans Mono"/>
          <w:b w:val="0"/>
          <w:i w:val="0"/>
          <w:sz w:val="17"/>
        </w:rPr>
        <w:t>draw</w:t>
      </w:r>
      <w:r>
        <w:rPr>
          <w:b w:val="0"/>
          <w:i w:val="0"/>
        </w:rPr>
        <w:t xml:space="preserve"> 与接收容量，同一实体电池项目的全部组件采用同一个抽样值。</w:t>
      </w:r>
    </w:p>
    <w:p>
      <w:pPr>
        <w:keepLines/>
        <w:spacing w:line="276" w:lineRule="auto" w:after="160"/>
      </w:pPr>
      <w:r>
        <w:rPr>
          <w:rFonts w:ascii="DejaVu Sans Mono" w:hAnsi="DejaVu Sans Mono"/>
          <w:b w:val="0"/>
          <w:i w:val="0"/>
          <w:sz w:val="17"/>
        </w:rPr>
        <w:t>probability_key = "battery" if source_technology == "battery" else _​technology(source_​technology)</w:t>
        <w:br/>
        <w:t>probability = success_rates.get(</w:t>
        <w:br/>
        <w:t xml:space="preserve">    (probability_key, region.strip().lower()),</w:t>
        <w:br/>
        <w:t xml:space="preserve">    success_​rates.get((probability_​key, "gb"), 1.0),</w:t>
        <w:br/>
        <w:t>)</w:t>
        <w:br/>
        <w:t>draw = int(</w:t>
        <w:br/>
        <w:t xml:space="preserve">    hashlib.sha256(f"{random_seed}:{project_id}".encode("utf-8")).hexdigest()[:13], 16</w:t>
        <w:br/>
        <w:t>) / float(16 ** 13 - 1)</w:t>
        <w:br/>
        <w:t>realised_failure = success_mode == "seeded_stochastic" and draw &gt; probability</w:t>
        <w:br/>
        <w:t>components = typed_​project_​components(project_​id, source_technology, capacity)</w:t>
        <w:br/>
        <w:t>for component_id, technology, declared_​component_​capacity, assignment_method in components:</w:t>
        <w:br/>
        <w:t xml:space="preserve">    effective_capacity = (</w:t>
        <w:br/>
        <w:t xml:space="preserve">        declared_​component_​capacity * probability</w:t>
        <w:br/>
        <w:t xml:space="preserve">        if success_mode == "expected_capacity" else declared_​component_​capacity</w:t>
        <w:br/>
        <w:t xml:space="preserve">    )</w:t>
        <w:br/>
      </w:r>
    </w:p>
    <w:p>
      <w:r>
        <w:rPr>
          <w:b w:val="0"/>
          <w:i w:val="0"/>
        </w:rPr>
        <w:t>通用电池项目先拆分，再记录经过成功率处理的容量。</w:t>
      </w:r>
      <w:r>
        <w:rPr>
          <w:rFonts w:ascii="DejaVu Sans Mono" w:hAnsi="DejaVu Sans Mono"/>
          <w:b w:val="0"/>
          <w:i w:val="0"/>
          <w:sz w:val="17"/>
        </w:rPr>
        <w:t>typed_​project_​components</w:t>
      </w:r>
      <w:r>
        <w:rPr>
          <w:b w:val="0"/>
          <w:i w:val="0"/>
        </w:rPr>
        <w:t xml:space="preserve"> 采用 </w:t>
      </w:r>
      <w:r>
        <w:rPr>
          <w:rFonts w:ascii="DejaVu Sans Mono" w:hAnsi="DejaVu Sans Mono"/>
          <w:b w:val="0"/>
          <w:i w:val="0"/>
          <w:sz w:val="17"/>
        </w:rPr>
        <w:t>scheme_​c_​storage_​weights</w:t>
      </w:r>
      <w:r>
        <w:rPr>
          <w:b w:val="0"/>
          <w:i w:val="0"/>
        </w:rPr>
        <w:t xml:space="preserve">，按初始电池装机使用的正机组权重，将源 MW 分至 </w:t>
      </w:r>
      <w:r>
        <w:rPr>
          <w:rFonts w:ascii="DejaVu Sans Mono" w:hAnsi="DejaVu Sans Mono"/>
          <w:b w:val="0"/>
          <w:i w:val="0"/>
          <w:sz w:val="17"/>
        </w:rPr>
        <w:t>1c_battery</w:t>
      </w:r>
      <w:r>
        <w:rPr>
          <w:b w:val="0"/>
          <w:i w:val="0"/>
        </w:rPr>
        <w:t>、</w:t>
      </w:r>
      <w:r>
        <w:rPr>
          <w:rFonts w:ascii="DejaVu Sans Mono" w:hAnsi="DejaVu Sans Mono"/>
          <w:b w:val="0"/>
          <w:i w:val="0"/>
          <w:sz w:val="17"/>
        </w:rPr>
        <w:t>0.5c_battery</w:t>
      </w:r>
      <w:r>
        <w:rPr>
          <w:b w:val="0"/>
          <w:i w:val="0"/>
        </w:rPr>
        <w:t>、</w:t>
      </w:r>
      <w:r>
        <w:rPr>
          <w:rFonts w:ascii="DejaVu Sans Mono" w:hAnsi="DejaVu Sans Mono"/>
          <w:b w:val="0"/>
          <w:i w:val="0"/>
          <w:sz w:val="17"/>
        </w:rPr>
        <w:t>0.25c_battery</w:t>
      </w:r>
      <w:r>
        <w:rPr>
          <w:b w:val="0"/>
          <w:i w:val="0"/>
        </w:rPr>
        <w:t>、</w:t>
      </w:r>
      <w:r>
        <w:rPr>
          <w:rFonts w:ascii="DejaVu Sans Mono" w:hAnsi="DejaVu Sans Mono"/>
          <w:b w:val="0"/>
          <w:i w:val="0"/>
          <w:sz w:val="17"/>
        </w:rPr>
        <w:t>hydrogen_battery</w:t>
      </w:r>
      <w:r>
        <w:rPr>
          <w:b w:val="0"/>
          <w:i w:val="0"/>
        </w:rPr>
        <w:t xml:space="preserve">；各 </w:t>
      </w:r>
      <w:r>
        <w:rPr>
          <w:rFonts w:ascii="DejaVu Sans Mono" w:hAnsi="DejaVu Sans Mono"/>
          <w:b w:val="0"/>
          <w:i w:val="0"/>
          <w:sz w:val="17"/>
        </w:rPr>
        <w:t>declared_​component_​capacity</w:t>
      </w:r>
      <w:r>
        <w:rPr>
          <w:b w:val="0"/>
          <w:i w:val="0"/>
        </w:rPr>
        <w:t xml:space="preserve"> 等于源容量乘以该权重占总权重的比例。</w:t>
      </w:r>
      <w:r>
        <w:rPr>
          <w:rFonts w:ascii="DejaVu Sans Mono" w:hAnsi="DejaVu Sans Mono"/>
          <w:b w:val="0"/>
          <w:i w:val="0"/>
          <w:sz w:val="17"/>
        </w:rPr>
        <w:t>all_1c</w:t>
      </w:r>
      <w:r>
        <w:rPr>
          <w:b w:val="0"/>
          <w:i w:val="0"/>
        </w:rPr>
        <w:t>、</w:t>
      </w:r>
      <w:r>
        <w:rPr>
          <w:rFonts w:ascii="DejaVu Sans Mono" w:hAnsi="DejaVu Sans Mono"/>
          <w:b w:val="0"/>
          <w:i w:val="0"/>
          <w:sz w:val="17"/>
        </w:rPr>
        <w:t>all_0.5c</w:t>
      </w:r>
      <w:r>
        <w:rPr>
          <w:b w:val="0"/>
          <w:i w:val="0"/>
        </w:rPr>
        <w:t>、</w:t>
      </w:r>
      <w:r>
        <w:rPr>
          <w:rFonts w:ascii="DejaVu Sans Mono" w:hAnsi="DejaVu Sans Mono"/>
          <w:b w:val="0"/>
          <w:i w:val="0"/>
          <w:sz w:val="17"/>
        </w:rPr>
        <w:t>all_0.25c</w:t>
      </w:r>
      <w:r>
        <w:rPr>
          <w:b w:val="0"/>
          <w:i w:val="0"/>
        </w:rPr>
        <w:t xml:space="preserve"> 分别将全部容量分给一种技术，</w:t>
      </w:r>
      <w:r>
        <w:rPr>
          <w:rFonts w:ascii="DejaVu Sans Mono" w:hAnsi="DejaVu Sans Mono"/>
          <w:b w:val="0"/>
          <w:i w:val="0"/>
          <w:sz w:val="17"/>
        </w:rPr>
        <w:t>exclude_untyped</w:t>
      </w:r>
      <w:r>
        <w:rPr>
          <w:b w:val="0"/>
          <w:i w:val="0"/>
        </w:rPr>
        <w:t xml:space="preserve"> 从初始清单移除通用电池项目。技术已经明确的项目保留其技术与容量。</w:t>
      </w:r>
    </w:p>
    <w:p>
      <w:r>
        <w:rPr>
          <w:b w:val="0"/>
          <w:i w:val="0"/>
        </w:rPr>
        <w:t xml:space="preserve">期望容量模式将组件声明 MW 乘以成功概率。随机模式 </w:t>
      </w:r>
      <w:r>
        <w:rPr>
          <w:rFonts w:ascii="DejaVu Sans Mono" w:hAnsi="DejaVu Sans Mono"/>
          <w:b w:val="0"/>
          <w:i w:val="0"/>
          <w:sz w:val="17"/>
        </w:rPr>
        <w:t>planning.success_​mode="stochastic"</w:t>
      </w:r>
      <w:r>
        <w:rPr>
          <w:b w:val="0"/>
          <w:i w:val="0"/>
        </w:rPr>
        <w:t xml:space="preserve"> 读为 </w:t>
      </w:r>
      <w:r>
        <w:rPr>
          <w:rFonts w:ascii="DejaVu Sans Mono" w:hAnsi="DejaVu Sans Mono"/>
          <w:b w:val="0"/>
          <w:i w:val="0"/>
          <w:sz w:val="17"/>
        </w:rPr>
        <w:t>seeded_stochastic</w:t>
      </w:r>
      <w:r>
        <w:rPr>
          <w:b w:val="0"/>
          <w:i w:val="0"/>
        </w:rPr>
        <w:t>，保留全部声明 MW；</w:t>
      </w:r>
      <w:r>
        <w:rPr>
          <w:rFonts w:ascii="DejaVu Sans Mono" w:hAnsi="DejaVu Sans Mono"/>
          <w:b w:val="0"/>
          <w:i w:val="0"/>
          <w:sz w:val="17"/>
        </w:rPr>
        <w:t>draw &gt; probability</w:t>
      </w:r>
      <w:r>
        <w:rPr>
          <w:b w:val="0"/>
          <w:i w:val="0"/>
        </w:rPr>
        <w:t xml:space="preserve"> 时设为 </w:t>
      </w:r>
      <w:r>
        <w:rPr>
          <w:rFonts w:ascii="DejaVu Sans Mono" w:hAnsi="DejaVu Sans Mono"/>
          <w:b w:val="0"/>
          <w:i w:val="0"/>
          <w:sz w:val="17"/>
        </w:rPr>
        <w:t>phase="failed"</w:t>
      </w:r>
      <w:r>
        <w:rPr>
          <w:b w:val="0"/>
          <w:i w:val="0"/>
        </w:rPr>
        <w:t>、</w:t>
      </w:r>
      <w:r>
        <w:rPr>
          <w:rFonts w:ascii="DejaVu Sans Mono" w:hAnsi="DejaVu Sans Mono"/>
          <w:b w:val="0"/>
          <w:i w:val="0"/>
          <w:sz w:val="17"/>
        </w:rPr>
        <w:t>outcome="failed_planning"</w:t>
      </w:r>
      <w:r>
        <w:rPr>
          <w:b w:val="0"/>
          <w:i w:val="0"/>
        </w:rPr>
        <w:t xml:space="preserve">，两者相等时通过。通过抽样的项目与期望容量项目采用 </w:t>
      </w:r>
      <w:r>
        <w:rPr>
          <w:rFonts w:ascii="DejaVu Sans Mono" w:hAnsi="DejaVu Sans Mono"/>
          <w:b w:val="0"/>
          <w:i w:val="0"/>
          <w:sz w:val="17"/>
        </w:rPr>
        <w:t>phase="active"</w:t>
      </w:r>
      <w:r>
        <w:rPr>
          <w:b w:val="0"/>
          <w:i w:val="0"/>
        </w:rPr>
        <w:t>、</w:t>
      </w:r>
      <w:r>
        <w:rPr>
          <w:rFonts w:ascii="DejaVu Sans Mono" w:hAnsi="DejaVu Sans Mono"/>
          <w:b w:val="0"/>
          <w:i w:val="0"/>
          <w:sz w:val="17"/>
        </w:rPr>
        <w:t>outcome="active"</w:t>
      </w:r>
      <w:r>
        <w:rPr>
          <w:b w:val="0"/>
          <w:i w:val="0"/>
        </w:rPr>
        <w:t xml:space="preserve">。储能电量为 </w:t>
      </w:r>
      <w:r>
        <w:rPr>
          <w:rFonts w:ascii="DejaVu Sans Mono" w:hAnsi="DejaVu Sans Mono"/>
          <w:b w:val="0"/>
          <w:i w:val="0"/>
          <w:sz w:val="17"/>
        </w:rPr>
        <w:t>effective_capacity * duration_hours</w:t>
      </w:r>
      <w:r>
        <w:rPr>
          <w:b w:val="0"/>
          <w:i w:val="0"/>
        </w:rPr>
        <w:t>，单位 MWh。</w:t>
      </w:r>
      <w:r>
        <w:rPr>
          <w:rFonts w:ascii="DejaVu Sans Mono" w:hAnsi="DejaVu Sans Mono"/>
          <w:b w:val="0"/>
          <w:i w:val="0"/>
          <w:sz w:val="17"/>
        </w:rPr>
        <w:t>PlanningProject</w:t>
      </w:r>
      <w:r>
        <w:rPr>
          <w:b w:val="0"/>
          <w:i w:val="0"/>
        </w:rPr>
        <w:t xml:space="preserve"> 将这些值与 </w:t>
      </w:r>
      <w:r>
        <w:rPr>
          <w:rFonts w:ascii="DejaVu Sans Mono" w:hAnsi="DejaVu Sans Mono"/>
          <w:b w:val="0"/>
          <w:i w:val="0"/>
          <w:sz w:val="17"/>
        </w:rPr>
        <w:t>expected_​completion_​year=completion</w:t>
      </w:r>
      <w:r>
        <w:rPr>
          <w:b w:val="0"/>
          <w:i w:val="0"/>
        </w:rPr>
        <w:t>、起始年、状态、技术和地区一并保存，供第 6 章逐年推进。</w:t>
      </w:r>
    </w:p>
    <w:p>
      <w:r>
        <w:rPr>
          <w:b w:val="0"/>
          <w:i w:val="0"/>
        </w:rPr>
        <w:t xml:space="preserve">新增投资提案采用 </w:t>
      </w:r>
      <w:r>
        <w:rPr>
          <w:rFonts w:ascii="DejaVu Sans Mono" w:hAnsi="DejaVu Sans Mono"/>
          <w:b w:val="0"/>
          <w:i w:val="0"/>
          <w:sz w:val="17"/>
        </w:rPr>
        <w:t>endogenous_​planning._​success_​rate</w:t>
      </w:r>
      <w:r>
        <w:rPr>
          <w:b w:val="0"/>
          <w:i w:val="0"/>
        </w:rPr>
        <w:t xml:space="preserve"> 查询成功率。它依次选择地区成功率、同技术各地区均值和缺省值 0.75。第 6 章规定提案容量及后续规划过程。</w:t>
      </w:r>
    </w:p>
    <w:p>
      <w:pPr>
        <w:pStyle w:val="Heading2"/>
      </w:pPr>
      <w:r>
        <w:rPr>
          <w:b w:val="0"/>
          <w:i w:val="0"/>
        </w:rPr>
        <w:t>资本成本与储能参数</w:t>
      </w:r>
    </w:p>
    <w:p>
      <w:r>
        <w:rPr>
          <w:b w:val="0"/>
          <w:i w:val="0"/>
        </w:rPr>
        <w:t xml:space="preserve">资本成本、目标收益率和回收期分别作为财务输入。R029 从 </w:t>
      </w:r>
      <w:r>
        <w:rPr>
          <w:rFonts w:ascii="DejaVu Sans Mono" w:hAnsi="DejaVu Sans Mono"/>
          <w:b w:val="0"/>
          <w:i w:val="0"/>
          <w:sz w:val="17"/>
        </w:rPr>
        <w:t>capital_costs.json</w:t>
      </w:r>
      <w:r>
        <w:rPr>
          <w:b w:val="0"/>
          <w:i w:val="0"/>
        </w:rPr>
        <w:t xml:space="preserve"> 和 </w:t>
      </w:r>
      <w:r>
        <w:rPr>
          <w:rFonts w:ascii="DejaVu Sans Mono" w:hAnsi="DejaVu Sans Mono"/>
          <w:b w:val="0"/>
          <w:i w:val="0"/>
          <w:sz w:val="17"/>
        </w:rPr>
        <w:t>model_parameters.json</w:t>
      </w:r>
      <w:r>
        <w:rPr>
          <w:b w:val="0"/>
          <w:i w:val="0"/>
        </w:rPr>
        <w:t xml:space="preserve"> 读取参数；资本成本材料包括 BEIS《Electricity Generation Costs 2020》及 Arup。下表给出赋予初始资产的财务参数。年度资本回收采用 </w:t>
      </w:r>
      <w:r>
        <w:rPr>
          <w:rFonts w:ascii="DejaVu Sans Mono" w:hAnsi="DejaVu Sans Mono"/>
          <w:b w:val="0"/>
          <w:i w:val="0"/>
          <w:sz w:val="17"/>
        </w:rPr>
        <w:t>capital_​discount_​rate=0.05</w:t>
      </w:r>
      <w:r>
        <w:rPr>
          <w:b w:val="0"/>
          <w:i w:val="0"/>
        </w:rPr>
        <w:t>，投资计算和实际决策门槛见第 6 章。</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67"/>
        <w:gridCol w:w="2496"/>
        <w:gridCol w:w="2480"/>
        <w:gridCol w:w="2448"/>
      </w:tblGrid>
      <w:tr>
        <w:trPr>
          <w:cantSplit/>
          <w:tblHeader w:val="true"/>
        </w:trPr>
        <w:tc>
          <w:tcPr>
            <w:tcW w:type="dxa" w:w="2367"/>
            <w:vAlign w:val="center"/>
            <w:tcMar>
              <w:top w:w="90" w:type="dxa"/>
              <w:left w:w="90" w:type="dxa"/>
              <w:bottom w:w="90" w:type="dxa"/>
              <w:right w:w="90" w:type="dxa"/>
            </w:tcMar>
            <w:shd w:fill="EEEEEE"/>
          </w:tcPr>
          <w:p>
            <w:pPr>
              <w:spacing w:after="40" w:line="276" w:lineRule="auto"/>
            </w:pPr>
            <w:r>
              <w:rPr>
                <w:b/>
                <w:i w:val="0"/>
                <w:sz w:val="18"/>
              </w:rPr>
              <w:t>技术</w:t>
            </w:r>
          </w:p>
        </w:tc>
        <w:tc>
          <w:tcPr>
            <w:tcW w:type="dxa" w:w="2496"/>
            <w:vAlign w:val="center"/>
            <w:tcMar>
              <w:top w:w="90" w:type="dxa"/>
              <w:left w:w="90" w:type="dxa"/>
              <w:bottom w:w="90" w:type="dxa"/>
              <w:right w:w="90" w:type="dxa"/>
            </w:tcMar>
            <w:shd w:fill="EEEEEE"/>
          </w:tcPr>
          <w:p>
            <w:pPr>
              <w:spacing w:after="40" w:line="276" w:lineRule="auto"/>
            </w:pPr>
            <w:r>
              <w:rPr>
                <w:b/>
                <w:i w:val="0"/>
                <w:sz w:val="18"/>
              </w:rPr>
              <w:t>资本成本 GBP/MW</w:t>
            </w:r>
          </w:p>
        </w:tc>
        <w:tc>
          <w:tcPr>
            <w:tcW w:type="dxa" w:w="2480"/>
            <w:vAlign w:val="center"/>
            <w:tcMar>
              <w:top w:w="90" w:type="dxa"/>
              <w:left w:w="90" w:type="dxa"/>
              <w:bottom w:w="90" w:type="dxa"/>
              <w:right w:w="90" w:type="dxa"/>
            </w:tcMar>
            <w:shd w:fill="EEEEEE"/>
          </w:tcPr>
          <w:p>
            <w:pPr>
              <w:spacing w:after="40" w:line="276" w:lineRule="auto"/>
            </w:pPr>
            <w:r>
              <w:rPr>
                <w:rFonts w:ascii="DejaVu Sans Mono" w:hAnsi="DejaVu Sans Mono"/>
                <w:b/>
                <w:i w:val="0"/>
                <w:sz w:val="18"/>
              </w:rPr>
              <w:t>preferred_rate</w:t>
            </w:r>
          </w:p>
        </w:tc>
        <w:tc>
          <w:tcPr>
            <w:tcW w:type="dxa" w:w="2448"/>
            <w:vAlign w:val="center"/>
            <w:tcMar>
              <w:top w:w="90" w:type="dxa"/>
              <w:left w:w="90" w:type="dxa"/>
              <w:bottom w:w="90" w:type="dxa"/>
              <w:right w:w="90" w:type="dxa"/>
            </w:tcMar>
            <w:shd w:fill="EEEEEE"/>
          </w:tcPr>
          <w:p>
            <w:pPr>
              <w:spacing w:after="40" w:line="276" w:lineRule="auto"/>
            </w:pPr>
            <w:r>
              <w:rPr>
                <w:b/>
                <w:i w:val="0"/>
                <w:sz w:val="18"/>
              </w:rPr>
              <w:t>投资回收目标 年</w:t>
            </w:r>
          </w:p>
        </w:tc>
      </w:tr>
      <w:tr>
        <w:trPr>
          <w:cantSplit/>
        </w:trPr>
        <w:tc>
          <w:tcPr>
            <w:tcW w:type="dxa" w:w="2367"/>
            <w:vAlign w:val="center"/>
            <w:tcMar>
              <w:top w:w="90" w:type="dxa"/>
              <w:left w:w="90" w:type="dxa"/>
              <w:bottom w:w="90" w:type="dxa"/>
              <w:right w:w="90" w:type="dxa"/>
            </w:tcMar>
          </w:tcPr>
          <w:p>
            <w:pPr>
              <w:spacing w:after="40" w:line="276" w:lineRule="auto"/>
            </w:pPr>
            <w:r>
              <w:rPr>
                <w:b w:val="0"/>
                <w:i w:val="0"/>
                <w:sz w:val="18"/>
              </w:rPr>
              <w:t>光伏</w:t>
            </w:r>
          </w:p>
        </w:tc>
        <w:tc>
          <w:tcPr>
            <w:tcW w:type="dxa" w:w="2496"/>
            <w:vAlign w:val="center"/>
            <w:tcMar>
              <w:top w:w="90" w:type="dxa"/>
              <w:left w:w="90" w:type="dxa"/>
              <w:bottom w:w="90" w:type="dxa"/>
              <w:right w:w="90" w:type="dxa"/>
            </w:tcMar>
          </w:tcPr>
          <w:p>
            <w:pPr>
              <w:spacing w:after="40" w:line="276" w:lineRule="auto"/>
            </w:pPr>
            <w:r>
              <w:rPr>
                <w:b w:val="0"/>
                <w:i w:val="0"/>
                <w:sz w:val="18"/>
              </w:rPr>
              <w:t>659,000</w:t>
            </w:r>
          </w:p>
        </w:tc>
        <w:tc>
          <w:tcPr>
            <w:tcW w:type="dxa" w:w="2480"/>
            <w:vAlign w:val="center"/>
            <w:tcMar>
              <w:top w:w="90" w:type="dxa"/>
              <w:left w:w="90" w:type="dxa"/>
              <w:bottom w:w="90" w:type="dxa"/>
              <w:right w:w="90" w:type="dxa"/>
            </w:tcMar>
          </w:tcPr>
          <w:p>
            <w:pPr>
              <w:spacing w:after="40" w:line="276" w:lineRule="auto"/>
            </w:pPr>
            <w:r>
              <w:rPr>
                <w:b w:val="0"/>
                <w:i w:val="0"/>
                <w:sz w:val="18"/>
              </w:rPr>
              <w:t>0.076</w:t>
            </w:r>
          </w:p>
        </w:tc>
        <w:tc>
          <w:tcPr>
            <w:tcW w:type="dxa" w:w="2448"/>
            <w:vAlign w:val="center"/>
            <w:tcMar>
              <w:top w:w="90" w:type="dxa"/>
              <w:left w:w="90" w:type="dxa"/>
              <w:bottom w:w="90" w:type="dxa"/>
              <w:right w:w="90" w:type="dxa"/>
            </w:tcMar>
          </w:tcPr>
          <w:p>
            <w:pPr>
              <w:spacing w:after="40" w:line="276" w:lineRule="auto"/>
            </w:pPr>
            <w:r>
              <w:rPr>
                <w:b w:val="0"/>
                <w:i w:val="0"/>
                <w:sz w:val="18"/>
              </w:rPr>
              <w:t>25</w:t>
            </w:r>
          </w:p>
        </w:tc>
      </w:tr>
      <w:tr>
        <w:trPr>
          <w:cantSplit/>
        </w:trPr>
        <w:tc>
          <w:tcPr>
            <w:tcW w:type="dxa" w:w="2367"/>
            <w:vAlign w:val="center"/>
            <w:tcMar>
              <w:top w:w="90" w:type="dxa"/>
              <w:left w:w="90" w:type="dxa"/>
              <w:bottom w:w="90" w:type="dxa"/>
              <w:right w:w="90" w:type="dxa"/>
            </w:tcMar>
          </w:tcPr>
          <w:p>
            <w:pPr>
              <w:spacing w:after="40" w:line="276" w:lineRule="auto"/>
            </w:pPr>
            <w:r>
              <w:rPr>
                <w:b w:val="0"/>
                <w:i w:val="0"/>
                <w:sz w:val="18"/>
              </w:rPr>
              <w:t>陆风</w:t>
            </w:r>
          </w:p>
        </w:tc>
        <w:tc>
          <w:tcPr>
            <w:tcW w:type="dxa" w:w="2496"/>
            <w:vAlign w:val="center"/>
            <w:tcMar>
              <w:top w:w="90" w:type="dxa"/>
              <w:left w:w="90" w:type="dxa"/>
              <w:bottom w:w="90" w:type="dxa"/>
              <w:right w:w="90" w:type="dxa"/>
            </w:tcMar>
          </w:tcPr>
          <w:p>
            <w:pPr>
              <w:spacing w:after="40" w:line="276" w:lineRule="auto"/>
            </w:pPr>
            <w:r>
              <w:rPr>
                <w:b w:val="0"/>
                <w:i w:val="0"/>
                <w:sz w:val="18"/>
              </w:rPr>
              <w:t>1,588,000</w:t>
            </w:r>
          </w:p>
        </w:tc>
        <w:tc>
          <w:tcPr>
            <w:tcW w:type="dxa" w:w="2480"/>
            <w:vAlign w:val="center"/>
            <w:tcMar>
              <w:top w:w="90" w:type="dxa"/>
              <w:left w:w="90" w:type="dxa"/>
              <w:bottom w:w="90" w:type="dxa"/>
              <w:right w:w="90" w:type="dxa"/>
            </w:tcMar>
          </w:tcPr>
          <w:p>
            <w:pPr>
              <w:spacing w:after="40" w:line="276" w:lineRule="auto"/>
            </w:pPr>
            <w:r>
              <w:rPr>
                <w:b w:val="0"/>
                <w:i w:val="0"/>
                <w:sz w:val="18"/>
              </w:rPr>
              <w:t>0.076</w:t>
            </w:r>
          </w:p>
        </w:tc>
        <w:tc>
          <w:tcPr>
            <w:tcW w:type="dxa" w:w="2448"/>
            <w:vAlign w:val="center"/>
            <w:tcMar>
              <w:top w:w="90" w:type="dxa"/>
              <w:left w:w="90" w:type="dxa"/>
              <w:bottom w:w="90" w:type="dxa"/>
              <w:right w:w="90" w:type="dxa"/>
            </w:tcMar>
          </w:tcPr>
          <w:p>
            <w:pPr>
              <w:spacing w:after="40" w:line="276" w:lineRule="auto"/>
            </w:pPr>
            <w:r>
              <w:rPr>
                <w:b w:val="0"/>
                <w:i w:val="0"/>
                <w:sz w:val="18"/>
              </w:rPr>
              <w:t>30</w:t>
            </w:r>
          </w:p>
        </w:tc>
      </w:tr>
      <w:tr>
        <w:trPr>
          <w:cantSplit/>
        </w:trPr>
        <w:tc>
          <w:tcPr>
            <w:tcW w:type="dxa" w:w="2367"/>
            <w:vAlign w:val="center"/>
            <w:tcMar>
              <w:top w:w="90" w:type="dxa"/>
              <w:left w:w="90" w:type="dxa"/>
              <w:bottom w:w="90" w:type="dxa"/>
              <w:right w:w="90" w:type="dxa"/>
            </w:tcMar>
          </w:tcPr>
          <w:p>
            <w:pPr>
              <w:spacing w:after="40" w:line="276" w:lineRule="auto"/>
            </w:pPr>
            <w:r>
              <w:rPr>
                <w:b w:val="0"/>
                <w:i w:val="0"/>
                <w:sz w:val="18"/>
              </w:rPr>
              <w:t>海风</w:t>
            </w:r>
          </w:p>
        </w:tc>
        <w:tc>
          <w:tcPr>
            <w:tcW w:type="dxa" w:w="2496"/>
            <w:vAlign w:val="center"/>
            <w:tcMar>
              <w:top w:w="90" w:type="dxa"/>
              <w:left w:w="90" w:type="dxa"/>
              <w:bottom w:w="90" w:type="dxa"/>
              <w:right w:w="90" w:type="dxa"/>
            </w:tcMar>
          </w:tcPr>
          <w:p>
            <w:pPr>
              <w:spacing w:after="40" w:line="276" w:lineRule="auto"/>
            </w:pPr>
            <w:r>
              <w:rPr>
                <w:b w:val="0"/>
                <w:i w:val="0"/>
                <w:sz w:val="18"/>
              </w:rPr>
              <w:t>3,976,000</w:t>
            </w:r>
          </w:p>
        </w:tc>
        <w:tc>
          <w:tcPr>
            <w:tcW w:type="dxa" w:w="2480"/>
            <w:vAlign w:val="center"/>
            <w:tcMar>
              <w:top w:w="90" w:type="dxa"/>
              <w:left w:w="90" w:type="dxa"/>
              <w:bottom w:w="90" w:type="dxa"/>
              <w:right w:w="90" w:type="dxa"/>
            </w:tcMar>
          </w:tcPr>
          <w:p>
            <w:pPr>
              <w:spacing w:after="40" w:line="276" w:lineRule="auto"/>
            </w:pPr>
            <w:r>
              <w:rPr>
                <w:b w:val="0"/>
                <w:i w:val="0"/>
                <w:sz w:val="18"/>
              </w:rPr>
              <w:t>0.089</w:t>
            </w:r>
          </w:p>
        </w:tc>
        <w:tc>
          <w:tcPr>
            <w:tcW w:type="dxa" w:w="2448"/>
            <w:vAlign w:val="center"/>
            <w:tcMar>
              <w:top w:w="90" w:type="dxa"/>
              <w:left w:w="90" w:type="dxa"/>
              <w:bottom w:w="90" w:type="dxa"/>
              <w:right w:w="90" w:type="dxa"/>
            </w:tcMar>
          </w:tcPr>
          <w:p>
            <w:pPr>
              <w:spacing w:after="40" w:line="276" w:lineRule="auto"/>
            </w:pPr>
            <w:r>
              <w:rPr>
                <w:b w:val="0"/>
                <w:i w:val="0"/>
                <w:sz w:val="18"/>
              </w:rPr>
              <w:t>30</w:t>
            </w:r>
          </w:p>
        </w:tc>
      </w:tr>
      <w:tr>
        <w:trPr>
          <w:cantSplit/>
        </w:trPr>
        <w:tc>
          <w:tcPr>
            <w:tcW w:type="dxa" w:w="2367"/>
            <w:vAlign w:val="center"/>
            <w:tcMar>
              <w:top w:w="90" w:type="dxa"/>
              <w:left w:w="90" w:type="dxa"/>
              <w:bottom w:w="90" w:type="dxa"/>
              <w:right w:w="90" w:type="dxa"/>
            </w:tcMar>
          </w:tcPr>
          <w:p>
            <w:pPr>
              <w:spacing w:after="40" w:line="276" w:lineRule="auto"/>
            </w:pPr>
            <w:r>
              <w:rPr>
                <w:b w:val="0"/>
                <w:i w:val="0"/>
                <w:sz w:val="18"/>
              </w:rPr>
              <w:t>CCGT / OCGT</w:t>
            </w:r>
          </w:p>
        </w:tc>
        <w:tc>
          <w:tcPr>
            <w:tcW w:type="dxa" w:w="2496"/>
            <w:vAlign w:val="center"/>
            <w:tcMar>
              <w:top w:w="90" w:type="dxa"/>
              <w:left w:w="90" w:type="dxa"/>
              <w:bottom w:w="90" w:type="dxa"/>
              <w:right w:w="90" w:type="dxa"/>
            </w:tcMar>
          </w:tcPr>
          <w:p>
            <w:pPr>
              <w:spacing w:after="40" w:line="276" w:lineRule="auto"/>
            </w:pPr>
            <w:r>
              <w:rPr>
                <w:b w:val="0"/>
                <w:i w:val="0"/>
                <w:sz w:val="18"/>
              </w:rPr>
              <w:t>2,400,000</w:t>
            </w:r>
          </w:p>
        </w:tc>
        <w:tc>
          <w:tcPr>
            <w:tcW w:type="dxa" w:w="2480"/>
            <w:vAlign w:val="center"/>
            <w:tcMar>
              <w:top w:w="90" w:type="dxa"/>
              <w:left w:w="90" w:type="dxa"/>
              <w:bottom w:w="90" w:type="dxa"/>
              <w:right w:w="90" w:type="dxa"/>
            </w:tcMar>
          </w:tcPr>
          <w:p>
            <w:pPr>
              <w:spacing w:after="40" w:line="276" w:lineRule="auto"/>
            </w:pPr>
            <w:r>
              <w:rPr>
                <w:b w:val="0"/>
                <w:i w:val="0"/>
                <w:sz w:val="18"/>
              </w:rPr>
              <w:t>0.089</w:t>
            </w:r>
          </w:p>
        </w:tc>
        <w:tc>
          <w:tcPr>
            <w:tcW w:type="dxa" w:w="2448"/>
            <w:vAlign w:val="center"/>
            <w:tcMar>
              <w:top w:w="90" w:type="dxa"/>
              <w:left w:w="90" w:type="dxa"/>
              <w:bottom w:w="90" w:type="dxa"/>
              <w:right w:w="90" w:type="dxa"/>
            </w:tcMar>
          </w:tcPr>
          <w:p>
            <w:pPr>
              <w:spacing w:after="40" w:line="276" w:lineRule="auto"/>
            </w:pPr>
            <w:r>
              <w:rPr>
                <w:b w:val="0"/>
                <w:i w:val="0"/>
                <w:sz w:val="18"/>
              </w:rPr>
              <w:t>25</w:t>
            </w:r>
          </w:p>
        </w:tc>
      </w:tr>
      <w:tr>
        <w:trPr>
          <w:cantSplit/>
        </w:trPr>
        <w:tc>
          <w:tcPr>
            <w:tcW w:type="dxa" w:w="2367"/>
            <w:vAlign w:val="center"/>
            <w:tcMar>
              <w:top w:w="90" w:type="dxa"/>
              <w:left w:w="90" w:type="dxa"/>
              <w:bottom w:w="90" w:type="dxa"/>
              <w:right w:w="90" w:type="dxa"/>
            </w:tcMar>
          </w:tcPr>
          <w:p>
            <w:pPr>
              <w:spacing w:after="40" w:line="276" w:lineRule="auto"/>
            </w:pPr>
            <w:r>
              <w:rPr>
                <w:b w:val="0"/>
                <w:i w:val="0"/>
                <w:sz w:val="18"/>
              </w:rPr>
              <w:t>生物质与废弃物</w:t>
            </w:r>
          </w:p>
        </w:tc>
        <w:tc>
          <w:tcPr>
            <w:tcW w:type="dxa" w:w="2496"/>
            <w:vAlign w:val="center"/>
            <w:tcMar>
              <w:top w:w="90" w:type="dxa"/>
              <w:left w:w="90" w:type="dxa"/>
              <w:bottom w:w="90" w:type="dxa"/>
              <w:right w:w="90" w:type="dxa"/>
            </w:tcMar>
          </w:tcPr>
          <w:p>
            <w:pPr>
              <w:spacing w:after="40" w:line="276" w:lineRule="auto"/>
            </w:pPr>
            <w:r>
              <w:rPr>
                <w:b w:val="0"/>
                <w:i w:val="0"/>
                <w:sz w:val="18"/>
              </w:rPr>
              <w:t>1,500,000</w:t>
            </w:r>
          </w:p>
        </w:tc>
        <w:tc>
          <w:tcPr>
            <w:tcW w:type="dxa" w:w="2480"/>
            <w:vAlign w:val="center"/>
            <w:tcMar>
              <w:top w:w="90" w:type="dxa"/>
              <w:left w:w="90" w:type="dxa"/>
              <w:bottom w:w="90" w:type="dxa"/>
              <w:right w:w="90" w:type="dxa"/>
            </w:tcMar>
          </w:tcPr>
          <w:p>
            <w:pPr>
              <w:spacing w:after="40" w:line="276" w:lineRule="auto"/>
            </w:pPr>
            <w:r>
              <w:rPr>
                <w:b w:val="0"/>
                <w:i w:val="0"/>
                <w:sz w:val="18"/>
              </w:rPr>
              <w:t>0.089</w:t>
            </w:r>
          </w:p>
        </w:tc>
        <w:tc>
          <w:tcPr>
            <w:tcW w:type="dxa" w:w="2448"/>
            <w:vAlign w:val="center"/>
            <w:tcMar>
              <w:top w:w="90" w:type="dxa"/>
              <w:left w:w="90" w:type="dxa"/>
              <w:bottom w:w="90" w:type="dxa"/>
              <w:right w:w="90" w:type="dxa"/>
            </w:tcMar>
          </w:tcPr>
          <w:p>
            <w:pPr>
              <w:spacing w:after="40" w:line="276" w:lineRule="auto"/>
            </w:pPr>
            <w:r>
              <w:rPr>
                <w:b w:val="0"/>
                <w:i w:val="0"/>
                <w:sz w:val="18"/>
              </w:rPr>
              <w:t>25</w:t>
            </w:r>
          </w:p>
        </w:tc>
      </w:tr>
      <w:tr>
        <w:trPr>
          <w:cantSplit/>
        </w:trPr>
        <w:tc>
          <w:tcPr>
            <w:tcW w:type="dxa" w:w="2367"/>
            <w:vAlign w:val="center"/>
            <w:tcMar>
              <w:top w:w="90" w:type="dxa"/>
              <w:left w:w="90" w:type="dxa"/>
              <w:bottom w:w="90" w:type="dxa"/>
              <w:right w:w="90" w:type="dxa"/>
            </w:tcMar>
          </w:tcPr>
          <w:p>
            <w:pPr>
              <w:spacing w:after="40" w:line="276" w:lineRule="auto"/>
            </w:pPr>
            <w:r>
              <w:rPr>
                <w:b w:val="0"/>
                <w:i w:val="0"/>
                <w:sz w:val="18"/>
              </w:rPr>
              <w:t>1C 电池</w:t>
            </w:r>
          </w:p>
        </w:tc>
        <w:tc>
          <w:tcPr>
            <w:tcW w:type="dxa" w:w="2496"/>
            <w:vAlign w:val="center"/>
            <w:tcMar>
              <w:top w:w="90" w:type="dxa"/>
              <w:left w:w="90" w:type="dxa"/>
              <w:bottom w:w="90" w:type="dxa"/>
              <w:right w:w="90" w:type="dxa"/>
            </w:tcMar>
          </w:tcPr>
          <w:p>
            <w:pPr>
              <w:spacing w:after="40" w:line="276" w:lineRule="auto"/>
            </w:pPr>
            <w:r>
              <w:rPr>
                <w:b w:val="0"/>
                <w:i w:val="0"/>
                <w:sz w:val="18"/>
              </w:rPr>
              <w:t>330,000</w:t>
            </w:r>
          </w:p>
        </w:tc>
        <w:tc>
          <w:tcPr>
            <w:tcW w:type="dxa" w:w="2480"/>
            <w:vAlign w:val="center"/>
            <w:tcMar>
              <w:top w:w="90" w:type="dxa"/>
              <w:left w:w="90" w:type="dxa"/>
              <w:bottom w:w="90" w:type="dxa"/>
              <w:right w:w="90" w:type="dxa"/>
            </w:tcMar>
          </w:tcPr>
          <w:p>
            <w:pPr>
              <w:spacing w:after="40" w:line="276" w:lineRule="auto"/>
            </w:pPr>
            <w:r>
              <w:rPr>
                <w:b w:val="0"/>
                <w:i w:val="0"/>
                <w:sz w:val="18"/>
              </w:rPr>
              <w:t>0.0825</w:t>
            </w:r>
          </w:p>
        </w:tc>
        <w:tc>
          <w:tcPr>
            <w:tcW w:type="dxa" w:w="2448"/>
            <w:vAlign w:val="center"/>
            <w:tcMar>
              <w:top w:w="90" w:type="dxa"/>
              <w:left w:w="90" w:type="dxa"/>
              <w:bottom w:w="90" w:type="dxa"/>
              <w:right w:w="90" w:type="dxa"/>
            </w:tcMar>
          </w:tcPr>
          <w:p>
            <w:pPr>
              <w:spacing w:after="40" w:line="276" w:lineRule="auto"/>
            </w:pPr>
            <w:r>
              <w:rPr>
                <w:b w:val="0"/>
                <w:i w:val="0"/>
                <w:sz w:val="18"/>
              </w:rPr>
              <w:t>10</w:t>
            </w:r>
          </w:p>
        </w:tc>
      </w:tr>
      <w:tr>
        <w:trPr>
          <w:cantSplit/>
        </w:trPr>
        <w:tc>
          <w:tcPr>
            <w:tcW w:type="dxa" w:w="2367"/>
            <w:vAlign w:val="center"/>
            <w:tcMar>
              <w:top w:w="90" w:type="dxa"/>
              <w:left w:w="90" w:type="dxa"/>
              <w:bottom w:w="90" w:type="dxa"/>
              <w:right w:w="90" w:type="dxa"/>
            </w:tcMar>
          </w:tcPr>
          <w:p>
            <w:pPr>
              <w:spacing w:after="40" w:line="276" w:lineRule="auto"/>
            </w:pPr>
            <w:r>
              <w:rPr>
                <w:b w:val="0"/>
                <w:i w:val="0"/>
                <w:sz w:val="18"/>
              </w:rPr>
              <w:t>0.5C 电池</w:t>
            </w:r>
          </w:p>
        </w:tc>
        <w:tc>
          <w:tcPr>
            <w:tcW w:type="dxa" w:w="2496"/>
            <w:vAlign w:val="center"/>
            <w:tcMar>
              <w:top w:w="90" w:type="dxa"/>
              <w:left w:w="90" w:type="dxa"/>
              <w:bottom w:w="90" w:type="dxa"/>
              <w:right w:w="90" w:type="dxa"/>
            </w:tcMar>
          </w:tcPr>
          <w:p>
            <w:pPr>
              <w:spacing w:after="40" w:line="276" w:lineRule="auto"/>
            </w:pPr>
            <w:r>
              <w:rPr>
                <w:b w:val="0"/>
                <w:i w:val="0"/>
                <w:sz w:val="18"/>
              </w:rPr>
              <w:t>350,000</w:t>
            </w:r>
          </w:p>
        </w:tc>
        <w:tc>
          <w:tcPr>
            <w:tcW w:type="dxa" w:w="2480"/>
            <w:vAlign w:val="center"/>
            <w:tcMar>
              <w:top w:w="90" w:type="dxa"/>
              <w:left w:w="90" w:type="dxa"/>
              <w:bottom w:w="90" w:type="dxa"/>
              <w:right w:w="90" w:type="dxa"/>
            </w:tcMar>
          </w:tcPr>
          <w:p>
            <w:pPr>
              <w:spacing w:after="40" w:line="276" w:lineRule="auto"/>
            </w:pPr>
            <w:r>
              <w:rPr>
                <w:b w:val="0"/>
                <w:i w:val="0"/>
                <w:sz w:val="18"/>
              </w:rPr>
              <w:t>0.165</w:t>
            </w:r>
          </w:p>
        </w:tc>
        <w:tc>
          <w:tcPr>
            <w:tcW w:type="dxa" w:w="2448"/>
            <w:vAlign w:val="center"/>
            <w:tcMar>
              <w:top w:w="90" w:type="dxa"/>
              <w:left w:w="90" w:type="dxa"/>
              <w:bottom w:w="90" w:type="dxa"/>
              <w:right w:w="90" w:type="dxa"/>
            </w:tcMar>
          </w:tcPr>
          <w:p>
            <w:pPr>
              <w:spacing w:after="40" w:line="276" w:lineRule="auto"/>
            </w:pPr>
            <w:r>
              <w:rPr>
                <w:b w:val="0"/>
                <w:i w:val="0"/>
                <w:sz w:val="18"/>
              </w:rPr>
              <w:t>10</w:t>
            </w:r>
          </w:p>
        </w:tc>
      </w:tr>
      <w:tr>
        <w:trPr>
          <w:cantSplit/>
        </w:trPr>
        <w:tc>
          <w:tcPr>
            <w:tcW w:type="dxa" w:w="2367"/>
            <w:vAlign w:val="center"/>
            <w:tcMar>
              <w:top w:w="90" w:type="dxa"/>
              <w:left w:w="90" w:type="dxa"/>
              <w:bottom w:w="90" w:type="dxa"/>
              <w:right w:w="90" w:type="dxa"/>
            </w:tcMar>
          </w:tcPr>
          <w:p>
            <w:pPr>
              <w:spacing w:after="40" w:line="276" w:lineRule="auto"/>
            </w:pPr>
            <w:r>
              <w:rPr>
                <w:b w:val="0"/>
                <w:i w:val="0"/>
                <w:sz w:val="18"/>
              </w:rPr>
              <w:t>0.25C 电池</w:t>
            </w:r>
          </w:p>
        </w:tc>
        <w:tc>
          <w:tcPr>
            <w:tcW w:type="dxa" w:w="2496"/>
            <w:vAlign w:val="center"/>
            <w:tcMar>
              <w:top w:w="90" w:type="dxa"/>
              <w:left w:w="90" w:type="dxa"/>
              <w:bottom w:w="90" w:type="dxa"/>
              <w:right w:w="90" w:type="dxa"/>
            </w:tcMar>
          </w:tcPr>
          <w:p>
            <w:pPr>
              <w:spacing w:after="40" w:line="276" w:lineRule="auto"/>
            </w:pPr>
            <w:r>
              <w:rPr>
                <w:b w:val="0"/>
                <w:i w:val="0"/>
                <w:sz w:val="18"/>
              </w:rPr>
              <w:t>415,000</w:t>
            </w:r>
          </w:p>
        </w:tc>
        <w:tc>
          <w:tcPr>
            <w:tcW w:type="dxa" w:w="2480"/>
            <w:vAlign w:val="center"/>
            <w:tcMar>
              <w:top w:w="90" w:type="dxa"/>
              <w:left w:w="90" w:type="dxa"/>
              <w:bottom w:w="90" w:type="dxa"/>
              <w:right w:w="90" w:type="dxa"/>
            </w:tcMar>
          </w:tcPr>
          <w:p>
            <w:pPr>
              <w:spacing w:after="40" w:line="276" w:lineRule="auto"/>
            </w:pPr>
            <w:r>
              <w:rPr>
                <w:b w:val="0"/>
                <w:i w:val="0"/>
                <w:sz w:val="18"/>
              </w:rPr>
              <w:t>0.0825</w:t>
            </w:r>
          </w:p>
        </w:tc>
        <w:tc>
          <w:tcPr>
            <w:tcW w:type="dxa" w:w="2448"/>
            <w:vAlign w:val="center"/>
            <w:tcMar>
              <w:top w:w="90" w:type="dxa"/>
              <w:left w:w="90" w:type="dxa"/>
              <w:bottom w:w="90" w:type="dxa"/>
              <w:right w:w="90" w:type="dxa"/>
            </w:tcMar>
          </w:tcPr>
          <w:p>
            <w:pPr>
              <w:spacing w:after="40" w:line="276" w:lineRule="auto"/>
            </w:pPr>
            <w:r>
              <w:rPr>
                <w:b w:val="0"/>
                <w:i w:val="0"/>
                <w:sz w:val="18"/>
              </w:rPr>
              <w:t>10</w:t>
            </w:r>
          </w:p>
        </w:tc>
      </w:tr>
      <w:tr>
        <w:trPr>
          <w:cantSplit/>
        </w:trPr>
        <w:tc>
          <w:tcPr>
            <w:tcW w:type="dxa" w:w="2367"/>
            <w:vAlign w:val="center"/>
            <w:tcMar>
              <w:top w:w="90" w:type="dxa"/>
              <w:left w:w="90" w:type="dxa"/>
              <w:bottom w:w="90" w:type="dxa"/>
              <w:right w:w="90" w:type="dxa"/>
            </w:tcMar>
          </w:tcPr>
          <w:p>
            <w:pPr>
              <w:spacing w:after="40" w:line="276" w:lineRule="auto"/>
            </w:pPr>
            <w:r>
              <w:rPr>
                <w:b w:val="0"/>
                <w:i w:val="0"/>
                <w:sz w:val="18"/>
              </w:rPr>
              <w:t>氢储能</w:t>
            </w:r>
          </w:p>
        </w:tc>
        <w:tc>
          <w:tcPr>
            <w:tcW w:type="dxa" w:w="2496"/>
            <w:vAlign w:val="center"/>
            <w:tcMar>
              <w:top w:w="90" w:type="dxa"/>
              <w:left w:w="90" w:type="dxa"/>
              <w:bottom w:w="90" w:type="dxa"/>
              <w:right w:w="90" w:type="dxa"/>
            </w:tcMar>
          </w:tcPr>
          <w:p>
            <w:pPr>
              <w:spacing w:after="40" w:line="276" w:lineRule="auto"/>
            </w:pPr>
            <w:r>
              <w:rPr>
                <w:b w:val="0"/>
                <w:i w:val="0"/>
                <w:sz w:val="18"/>
              </w:rPr>
              <w:t>600,000</w:t>
            </w:r>
          </w:p>
        </w:tc>
        <w:tc>
          <w:tcPr>
            <w:tcW w:type="dxa" w:w="2480"/>
            <w:vAlign w:val="center"/>
            <w:tcMar>
              <w:top w:w="90" w:type="dxa"/>
              <w:left w:w="90" w:type="dxa"/>
              <w:bottom w:w="90" w:type="dxa"/>
              <w:right w:w="90" w:type="dxa"/>
            </w:tcMar>
          </w:tcPr>
          <w:p>
            <w:pPr>
              <w:spacing w:after="40" w:line="276" w:lineRule="auto"/>
            </w:pPr>
            <w:r>
              <w:rPr>
                <w:b w:val="0"/>
                <w:i w:val="0"/>
                <w:sz w:val="18"/>
              </w:rPr>
              <w:t>0.01375</w:t>
            </w:r>
          </w:p>
        </w:tc>
        <w:tc>
          <w:tcPr>
            <w:tcW w:type="dxa" w:w="2448"/>
            <w:vAlign w:val="center"/>
            <w:tcMar>
              <w:top w:w="90" w:type="dxa"/>
              <w:left w:w="90" w:type="dxa"/>
              <w:bottom w:w="90" w:type="dxa"/>
              <w:right w:w="90" w:type="dxa"/>
            </w:tcMar>
          </w:tcPr>
          <w:p>
            <w:pPr>
              <w:spacing w:after="40" w:line="276" w:lineRule="auto"/>
            </w:pPr>
            <w:r>
              <w:rPr>
                <w:b w:val="0"/>
                <w:i w:val="0"/>
                <w:sz w:val="18"/>
              </w:rPr>
              <w:t>25（默认）</w:t>
            </w:r>
          </w:p>
        </w:tc>
      </w:tr>
    </w:tbl>
    <w:p>
      <w:pPr>
        <w:spacing w:after="20"/>
      </w:pPr>
    </w:p>
    <w:p>
      <w:r>
        <w:rPr>
          <w:b w:val="0"/>
          <w:i w:val="0"/>
        </w:rPr>
        <w:t xml:space="preserve">储能损耗由充电效率与放电效率分别描述。往返效率为 </w:t>
      </w:r>
      <w:r>
        <w:rPr>
          <w:rFonts w:ascii="DejaVu Sans Mono" w:hAnsi="DejaVu Sans Mono"/>
          <w:b w:val="0"/>
          <w:i w:val="0"/>
          <w:sz w:val="17"/>
        </w:rPr>
        <w:t>charge_efficiency * discharge_efficiency</w:t>
      </w:r>
      <w:r>
        <w:rPr>
          <w:b w:val="0"/>
          <w:i w:val="0"/>
        </w:rPr>
        <w:t xml:space="preserve">，0.5C 电池对应 </w:t>
      </w:r>
      <w:r>
        <w:drawing>
          <wp:inline xmlns:a="http://schemas.openxmlformats.org/drawingml/2006/main" xmlns:pic="http://schemas.openxmlformats.org/drawingml/2006/picture">
            <wp:extent cx="999693" cy="148801"/>
            <wp:docPr id="3" name="Picture 3"/>
            <wp:cNvGraphicFramePr>
              <a:graphicFrameLocks noChangeAspect="1"/>
            </wp:cNvGraphicFramePr>
            <a:graphic>
              <a:graphicData uri="http://schemas.openxmlformats.org/drawingml/2006/picture">
                <pic:pic>
                  <pic:nvPicPr>
                    <pic:cNvPr id="0" name="eq-003.png"/>
                    <pic:cNvPicPr/>
                  </pic:nvPicPr>
                  <pic:blipFill>
                    <a:blip r:embed="rId13"/>
                    <a:stretch>
                      <a:fillRect/>
                    </a:stretch>
                  </pic:blipFill>
                  <pic:spPr>
                    <a:xfrm>
                      <a:off x="0" y="0"/>
                      <a:ext cx="999693" cy="148801"/>
                    </a:xfrm>
                    <a:prstGeom prst="rect"/>
                  </pic:spPr>
                </pic:pic>
              </a:graphicData>
            </a:graphic>
          </wp:inline>
        </w:drawing>
      </w:r>
      <w:r>
        <w:rPr>
          <w:b w:val="0"/>
          <w:i w:val="0"/>
        </w:rPr>
        <w:t xml:space="preserve">⁠。技术目录还提供持续时间、经济寿命和 </w:t>
      </w:r>
      <w:r>
        <w:rPr>
          <w:rFonts w:ascii="DejaVu Sans Mono" w:hAnsi="DejaVu Sans Mono"/>
          <w:b w:val="0"/>
          <w:i w:val="0"/>
          <w:sz w:val="17"/>
        </w:rPr>
        <w:t>maximum_cycles</w:t>
      </w:r>
      <w:r>
        <w:rPr>
          <w:b w:val="0"/>
          <w:i w:val="0"/>
        </w:rPr>
        <w:t>，这些量进入第 4、6 章的库存递推与成本计算，初始库存随运行算法在第 4 章给定。</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33"/>
        <w:gridCol w:w="1675"/>
        <w:gridCol w:w="1416"/>
        <w:gridCol w:w="1416"/>
        <w:gridCol w:w="1709"/>
        <w:gridCol w:w="2043"/>
      </w:tblGrid>
      <w:tr>
        <w:trPr>
          <w:cantSplit/>
          <w:tblHeader w:val="true"/>
        </w:trPr>
        <w:tc>
          <w:tcPr>
            <w:tcW w:type="dxa" w:w="1533"/>
            <w:vAlign w:val="center"/>
            <w:tcMar>
              <w:top w:w="90" w:type="dxa"/>
              <w:left w:w="90" w:type="dxa"/>
              <w:bottom w:w="90" w:type="dxa"/>
              <w:right w:w="90" w:type="dxa"/>
            </w:tcMar>
            <w:shd w:fill="EEEEEE"/>
          </w:tcPr>
          <w:p>
            <w:pPr>
              <w:spacing w:after="40" w:line="276" w:lineRule="auto"/>
            </w:pPr>
            <w:r>
              <w:rPr>
                <w:b/>
                <w:i w:val="0"/>
                <w:sz w:val="18"/>
              </w:rPr>
              <w:t>技术</w:t>
            </w:r>
          </w:p>
        </w:tc>
        <w:tc>
          <w:tcPr>
            <w:tcW w:type="dxa" w:w="1675"/>
            <w:vAlign w:val="center"/>
            <w:tcMar>
              <w:top w:w="90" w:type="dxa"/>
              <w:left w:w="90" w:type="dxa"/>
              <w:bottom w:w="90" w:type="dxa"/>
              <w:right w:w="90" w:type="dxa"/>
            </w:tcMar>
            <w:shd w:fill="EEEEEE"/>
          </w:tcPr>
          <w:p>
            <w:pPr>
              <w:spacing w:after="40" w:line="276" w:lineRule="auto"/>
            </w:pPr>
            <w:r>
              <w:rPr>
                <w:b/>
                <w:i w:val="0"/>
                <w:sz w:val="18"/>
              </w:rPr>
              <w:t>目录持续时间 h</w:t>
            </w:r>
          </w:p>
        </w:tc>
        <w:tc>
          <w:tcPr>
            <w:tcW w:type="dxa" w:w="1416"/>
            <w:vAlign w:val="center"/>
            <w:tcMar>
              <w:top w:w="90" w:type="dxa"/>
              <w:left w:w="90" w:type="dxa"/>
              <w:bottom w:w="90" w:type="dxa"/>
              <w:right w:w="90" w:type="dxa"/>
            </w:tcMar>
            <w:shd w:fill="EEEEEE"/>
          </w:tcPr>
          <w:p>
            <w:pPr>
              <w:spacing w:after="40" w:line="276" w:lineRule="auto"/>
            </w:pPr>
            <w:r>
              <w:rPr>
                <w:b/>
                <w:i w:val="0"/>
                <w:sz w:val="18"/>
              </w:rPr>
              <w:t>充电效率</w:t>
            </w:r>
          </w:p>
        </w:tc>
        <w:tc>
          <w:tcPr>
            <w:tcW w:type="dxa" w:w="1416"/>
            <w:vAlign w:val="center"/>
            <w:tcMar>
              <w:top w:w="90" w:type="dxa"/>
              <w:left w:w="90" w:type="dxa"/>
              <w:bottom w:w="90" w:type="dxa"/>
              <w:right w:w="90" w:type="dxa"/>
            </w:tcMar>
            <w:shd w:fill="EEEEEE"/>
          </w:tcPr>
          <w:p>
            <w:pPr>
              <w:spacing w:after="40" w:line="276" w:lineRule="auto"/>
            </w:pPr>
            <w:r>
              <w:rPr>
                <w:b/>
                <w:i w:val="0"/>
                <w:sz w:val="18"/>
              </w:rPr>
              <w:t>放电效率</w:t>
            </w:r>
          </w:p>
        </w:tc>
        <w:tc>
          <w:tcPr>
            <w:tcW w:type="dxa" w:w="1709"/>
            <w:vAlign w:val="center"/>
            <w:tcMar>
              <w:top w:w="90" w:type="dxa"/>
              <w:left w:w="90" w:type="dxa"/>
              <w:bottom w:w="90" w:type="dxa"/>
              <w:right w:w="90" w:type="dxa"/>
            </w:tcMar>
            <w:shd w:fill="EEEEEE"/>
          </w:tcPr>
          <w:p>
            <w:pPr>
              <w:spacing w:after="40" w:line="276" w:lineRule="auto"/>
            </w:pPr>
            <w:r>
              <w:rPr>
                <w:b/>
                <w:i w:val="0"/>
                <w:sz w:val="18"/>
              </w:rPr>
              <w:t>目录经济寿命 年</w:t>
            </w:r>
          </w:p>
        </w:tc>
        <w:tc>
          <w:tcPr>
            <w:tcW w:type="dxa" w:w="2043"/>
            <w:vAlign w:val="center"/>
            <w:tcMar>
              <w:top w:w="90" w:type="dxa"/>
              <w:left w:w="90" w:type="dxa"/>
              <w:bottom w:w="90" w:type="dxa"/>
              <w:right w:w="90" w:type="dxa"/>
            </w:tcMar>
            <w:shd w:fill="EEEEEE"/>
          </w:tcPr>
          <w:p>
            <w:pPr>
              <w:spacing w:after="40" w:line="276" w:lineRule="auto"/>
            </w:pPr>
            <w:r>
              <w:rPr>
                <w:b/>
                <w:i w:val="0"/>
                <w:sz w:val="18"/>
              </w:rPr>
              <w:t xml:space="preserve">循环参数 </w:t>
            </w:r>
            <w:r>
              <w:rPr>
                <w:rFonts w:ascii="DejaVu Sans Mono" w:hAnsi="DejaVu Sans Mono"/>
                <w:b/>
                <w:i w:val="0"/>
                <w:sz w:val="18"/>
              </w:rPr>
              <w:t>maximum_cycles</w:t>
            </w:r>
          </w:p>
        </w:tc>
      </w:tr>
      <w:tr>
        <w:trPr>
          <w:cantSplit/>
        </w:trPr>
        <w:tc>
          <w:tcPr>
            <w:tcW w:type="dxa" w:w="1533"/>
            <w:vAlign w:val="center"/>
            <w:tcMar>
              <w:top w:w="90" w:type="dxa"/>
              <w:left w:w="90" w:type="dxa"/>
              <w:bottom w:w="90" w:type="dxa"/>
              <w:right w:w="90" w:type="dxa"/>
            </w:tcMar>
          </w:tcPr>
          <w:p>
            <w:pPr>
              <w:spacing w:after="40" w:line="276" w:lineRule="auto"/>
            </w:pPr>
            <w:r>
              <w:rPr>
                <w:b w:val="0"/>
                <w:i w:val="0"/>
                <w:sz w:val="18"/>
              </w:rPr>
              <w:t>抽水蓄能</w:t>
            </w:r>
          </w:p>
        </w:tc>
        <w:tc>
          <w:tcPr>
            <w:tcW w:type="dxa" w:w="1675"/>
            <w:vAlign w:val="center"/>
            <w:tcMar>
              <w:top w:w="90" w:type="dxa"/>
              <w:left w:w="90" w:type="dxa"/>
              <w:bottom w:w="90" w:type="dxa"/>
              <w:right w:w="90" w:type="dxa"/>
            </w:tcMar>
          </w:tcPr>
          <w:p>
            <w:pPr>
              <w:spacing w:after="40" w:line="276" w:lineRule="auto"/>
            </w:pPr>
            <w:r>
              <w:rPr>
                <w:b w:val="0"/>
                <w:i w:val="0"/>
                <w:sz w:val="18"/>
              </w:rPr>
              <w:t>4</w:t>
            </w:r>
          </w:p>
        </w:tc>
        <w:tc>
          <w:tcPr>
            <w:tcW w:type="dxa" w:w="1416"/>
            <w:vAlign w:val="center"/>
            <w:tcMar>
              <w:top w:w="90" w:type="dxa"/>
              <w:left w:w="90" w:type="dxa"/>
              <w:bottom w:w="90" w:type="dxa"/>
              <w:right w:w="90" w:type="dxa"/>
            </w:tcMar>
          </w:tcPr>
          <w:p>
            <w:pPr>
              <w:spacing w:after="40" w:line="276" w:lineRule="auto"/>
            </w:pPr>
            <w:r>
              <w:rPr>
                <w:b w:val="0"/>
                <w:i w:val="0"/>
                <w:sz w:val="18"/>
              </w:rPr>
              <w:t>0.87</w:t>
            </w:r>
          </w:p>
        </w:tc>
        <w:tc>
          <w:tcPr>
            <w:tcW w:type="dxa" w:w="1416"/>
            <w:vAlign w:val="center"/>
            <w:tcMar>
              <w:top w:w="90" w:type="dxa"/>
              <w:left w:w="90" w:type="dxa"/>
              <w:bottom w:w="90" w:type="dxa"/>
              <w:right w:w="90" w:type="dxa"/>
            </w:tcMar>
          </w:tcPr>
          <w:p>
            <w:pPr>
              <w:spacing w:after="40" w:line="276" w:lineRule="auto"/>
            </w:pPr>
            <w:r>
              <w:rPr>
                <w:b w:val="0"/>
                <w:i w:val="0"/>
                <w:sz w:val="18"/>
              </w:rPr>
              <w:t>0.87</w:t>
            </w:r>
          </w:p>
        </w:tc>
        <w:tc>
          <w:tcPr>
            <w:tcW w:type="dxa" w:w="1709"/>
            <w:vAlign w:val="center"/>
            <w:tcMar>
              <w:top w:w="90" w:type="dxa"/>
              <w:left w:w="90" w:type="dxa"/>
              <w:bottom w:w="90" w:type="dxa"/>
              <w:right w:w="90" w:type="dxa"/>
            </w:tcMar>
          </w:tcPr>
          <w:p>
            <w:pPr>
              <w:spacing w:after="40" w:line="276" w:lineRule="auto"/>
            </w:pPr>
            <w:r>
              <w:rPr>
                <w:b w:val="0"/>
                <w:i w:val="0"/>
                <w:sz w:val="18"/>
              </w:rPr>
              <w:t>30</w:t>
            </w:r>
          </w:p>
        </w:tc>
        <w:tc>
          <w:tcPr>
            <w:tcW w:type="dxa" w:w="2043"/>
            <w:vAlign w:val="center"/>
            <w:tcMar>
              <w:top w:w="90" w:type="dxa"/>
              <w:left w:w="90" w:type="dxa"/>
              <w:bottom w:w="90" w:type="dxa"/>
              <w:right w:w="90" w:type="dxa"/>
            </w:tcMar>
          </w:tcPr>
          <w:p>
            <w:pPr>
              <w:spacing w:after="40" w:line="276" w:lineRule="auto"/>
            </w:pPr>
            <w:r>
              <w:rPr>
                <w:b w:val="0"/>
                <w:i w:val="0"/>
                <w:sz w:val="18"/>
              </w:rPr>
              <w:t>1,000,000</w:t>
            </w:r>
          </w:p>
        </w:tc>
      </w:tr>
      <w:tr>
        <w:trPr>
          <w:cantSplit/>
        </w:trPr>
        <w:tc>
          <w:tcPr>
            <w:tcW w:type="dxa" w:w="1533"/>
            <w:vAlign w:val="center"/>
            <w:tcMar>
              <w:top w:w="90" w:type="dxa"/>
              <w:left w:w="90" w:type="dxa"/>
              <w:bottom w:w="90" w:type="dxa"/>
              <w:right w:w="90" w:type="dxa"/>
            </w:tcMar>
          </w:tcPr>
          <w:p>
            <w:pPr>
              <w:spacing w:after="40" w:line="276" w:lineRule="auto"/>
            </w:pPr>
            <w:r>
              <w:rPr>
                <w:b w:val="0"/>
                <w:i w:val="0"/>
                <w:sz w:val="18"/>
              </w:rPr>
              <w:t>1C 电池</w:t>
            </w:r>
          </w:p>
        </w:tc>
        <w:tc>
          <w:tcPr>
            <w:tcW w:type="dxa" w:w="1675"/>
            <w:vAlign w:val="center"/>
            <w:tcMar>
              <w:top w:w="90" w:type="dxa"/>
              <w:left w:w="90" w:type="dxa"/>
              <w:bottom w:w="90" w:type="dxa"/>
              <w:right w:w="90" w:type="dxa"/>
            </w:tcMar>
          </w:tcPr>
          <w:p>
            <w:pPr>
              <w:spacing w:after="40" w:line="276" w:lineRule="auto"/>
            </w:pPr>
            <w:r>
              <w:rPr>
                <w:b w:val="0"/>
                <w:i w:val="0"/>
                <w:sz w:val="18"/>
              </w:rPr>
              <w:t>1</w:t>
            </w:r>
          </w:p>
        </w:tc>
        <w:tc>
          <w:tcPr>
            <w:tcW w:type="dxa" w:w="1416"/>
            <w:vAlign w:val="center"/>
            <w:tcMar>
              <w:top w:w="90" w:type="dxa"/>
              <w:left w:w="90" w:type="dxa"/>
              <w:bottom w:w="90" w:type="dxa"/>
              <w:right w:w="90" w:type="dxa"/>
            </w:tcMar>
          </w:tcPr>
          <w:p>
            <w:pPr>
              <w:spacing w:after="40" w:line="276" w:lineRule="auto"/>
            </w:pPr>
            <w:r>
              <w:rPr>
                <w:b w:val="0"/>
                <w:i w:val="0"/>
                <w:sz w:val="18"/>
              </w:rPr>
              <w:t>0.81</w:t>
            </w:r>
          </w:p>
        </w:tc>
        <w:tc>
          <w:tcPr>
            <w:tcW w:type="dxa" w:w="1416"/>
            <w:vAlign w:val="center"/>
            <w:tcMar>
              <w:top w:w="90" w:type="dxa"/>
              <w:left w:w="90" w:type="dxa"/>
              <w:bottom w:w="90" w:type="dxa"/>
              <w:right w:w="90" w:type="dxa"/>
            </w:tcMar>
          </w:tcPr>
          <w:p>
            <w:pPr>
              <w:spacing w:after="40" w:line="276" w:lineRule="auto"/>
            </w:pPr>
            <w:r>
              <w:rPr>
                <w:b w:val="0"/>
                <w:i w:val="0"/>
                <w:sz w:val="18"/>
              </w:rPr>
              <w:t>0.81</w:t>
            </w:r>
          </w:p>
        </w:tc>
        <w:tc>
          <w:tcPr>
            <w:tcW w:type="dxa" w:w="1709"/>
            <w:vAlign w:val="center"/>
            <w:tcMar>
              <w:top w:w="90" w:type="dxa"/>
              <w:left w:w="90" w:type="dxa"/>
              <w:bottom w:w="90" w:type="dxa"/>
              <w:right w:w="90" w:type="dxa"/>
            </w:tcMar>
          </w:tcPr>
          <w:p>
            <w:pPr>
              <w:spacing w:after="40" w:line="276" w:lineRule="auto"/>
            </w:pPr>
            <w:r>
              <w:rPr>
                <w:b w:val="0"/>
                <w:i w:val="0"/>
                <w:sz w:val="18"/>
              </w:rPr>
              <w:t>15</w:t>
            </w:r>
          </w:p>
        </w:tc>
        <w:tc>
          <w:tcPr>
            <w:tcW w:type="dxa" w:w="2043"/>
            <w:vAlign w:val="center"/>
            <w:tcMar>
              <w:top w:w="90" w:type="dxa"/>
              <w:left w:w="90" w:type="dxa"/>
              <w:bottom w:w="90" w:type="dxa"/>
              <w:right w:w="90" w:type="dxa"/>
            </w:tcMar>
          </w:tcPr>
          <w:p>
            <w:pPr>
              <w:spacing w:after="40" w:line="276" w:lineRule="auto"/>
            </w:pPr>
            <w:r>
              <w:rPr>
                <w:b w:val="0"/>
                <w:i w:val="0"/>
                <w:sz w:val="18"/>
              </w:rPr>
              <w:t>3,000</w:t>
            </w:r>
          </w:p>
        </w:tc>
      </w:tr>
      <w:tr>
        <w:trPr>
          <w:cantSplit/>
        </w:trPr>
        <w:tc>
          <w:tcPr>
            <w:tcW w:type="dxa" w:w="1533"/>
            <w:vAlign w:val="center"/>
            <w:tcMar>
              <w:top w:w="90" w:type="dxa"/>
              <w:left w:w="90" w:type="dxa"/>
              <w:bottom w:w="90" w:type="dxa"/>
              <w:right w:w="90" w:type="dxa"/>
            </w:tcMar>
          </w:tcPr>
          <w:p>
            <w:pPr>
              <w:spacing w:after="40" w:line="276" w:lineRule="auto"/>
            </w:pPr>
            <w:r>
              <w:rPr>
                <w:b w:val="0"/>
                <w:i w:val="0"/>
                <w:sz w:val="18"/>
              </w:rPr>
              <w:t>0.5C 电池</w:t>
            </w:r>
          </w:p>
        </w:tc>
        <w:tc>
          <w:tcPr>
            <w:tcW w:type="dxa" w:w="1675"/>
            <w:vAlign w:val="center"/>
            <w:tcMar>
              <w:top w:w="90" w:type="dxa"/>
              <w:left w:w="90" w:type="dxa"/>
              <w:bottom w:w="90" w:type="dxa"/>
              <w:right w:w="90" w:type="dxa"/>
            </w:tcMar>
          </w:tcPr>
          <w:p>
            <w:pPr>
              <w:spacing w:after="40" w:line="276" w:lineRule="auto"/>
            </w:pPr>
            <w:r>
              <w:rPr>
                <w:b w:val="0"/>
                <w:i w:val="0"/>
                <w:sz w:val="18"/>
              </w:rPr>
              <w:t>2</w:t>
            </w:r>
          </w:p>
        </w:tc>
        <w:tc>
          <w:tcPr>
            <w:tcW w:type="dxa" w:w="1416"/>
            <w:vAlign w:val="center"/>
            <w:tcMar>
              <w:top w:w="90" w:type="dxa"/>
              <w:left w:w="90" w:type="dxa"/>
              <w:bottom w:w="90" w:type="dxa"/>
              <w:right w:w="90" w:type="dxa"/>
            </w:tcMar>
          </w:tcPr>
          <w:p>
            <w:pPr>
              <w:spacing w:after="40" w:line="276" w:lineRule="auto"/>
            </w:pPr>
            <w:r>
              <w:rPr>
                <w:b w:val="0"/>
                <w:i w:val="0"/>
                <w:sz w:val="18"/>
              </w:rPr>
              <w:t>0.98</w:t>
            </w:r>
          </w:p>
        </w:tc>
        <w:tc>
          <w:tcPr>
            <w:tcW w:type="dxa" w:w="1416"/>
            <w:vAlign w:val="center"/>
            <w:tcMar>
              <w:top w:w="90" w:type="dxa"/>
              <w:left w:w="90" w:type="dxa"/>
              <w:bottom w:w="90" w:type="dxa"/>
              <w:right w:w="90" w:type="dxa"/>
            </w:tcMar>
          </w:tcPr>
          <w:p>
            <w:pPr>
              <w:spacing w:after="40" w:line="276" w:lineRule="auto"/>
            </w:pPr>
            <w:r>
              <w:rPr>
                <w:b w:val="0"/>
                <w:i w:val="0"/>
                <w:sz w:val="18"/>
              </w:rPr>
              <w:t>0.98</w:t>
            </w:r>
          </w:p>
        </w:tc>
        <w:tc>
          <w:tcPr>
            <w:tcW w:type="dxa" w:w="1709"/>
            <w:vAlign w:val="center"/>
            <w:tcMar>
              <w:top w:w="90" w:type="dxa"/>
              <w:left w:w="90" w:type="dxa"/>
              <w:bottom w:w="90" w:type="dxa"/>
              <w:right w:w="90" w:type="dxa"/>
            </w:tcMar>
          </w:tcPr>
          <w:p>
            <w:pPr>
              <w:spacing w:after="40" w:line="276" w:lineRule="auto"/>
            </w:pPr>
            <w:r>
              <w:rPr>
                <w:b w:val="0"/>
                <w:i w:val="0"/>
                <w:sz w:val="18"/>
              </w:rPr>
              <w:t>15</w:t>
            </w:r>
          </w:p>
        </w:tc>
        <w:tc>
          <w:tcPr>
            <w:tcW w:type="dxa" w:w="2043"/>
            <w:vAlign w:val="center"/>
            <w:tcMar>
              <w:top w:w="90" w:type="dxa"/>
              <w:left w:w="90" w:type="dxa"/>
              <w:bottom w:w="90" w:type="dxa"/>
              <w:right w:w="90" w:type="dxa"/>
            </w:tcMar>
          </w:tcPr>
          <w:p>
            <w:pPr>
              <w:spacing w:after="40" w:line="276" w:lineRule="auto"/>
            </w:pPr>
            <w:r>
              <w:rPr>
                <w:b w:val="0"/>
                <w:i w:val="0"/>
                <w:sz w:val="18"/>
              </w:rPr>
              <w:t>5,000</w:t>
            </w:r>
          </w:p>
        </w:tc>
      </w:tr>
      <w:tr>
        <w:trPr>
          <w:cantSplit/>
        </w:trPr>
        <w:tc>
          <w:tcPr>
            <w:tcW w:type="dxa" w:w="1533"/>
            <w:vAlign w:val="center"/>
            <w:tcMar>
              <w:top w:w="90" w:type="dxa"/>
              <w:left w:w="90" w:type="dxa"/>
              <w:bottom w:w="90" w:type="dxa"/>
              <w:right w:w="90" w:type="dxa"/>
            </w:tcMar>
          </w:tcPr>
          <w:p>
            <w:pPr>
              <w:spacing w:after="40" w:line="276" w:lineRule="auto"/>
            </w:pPr>
            <w:r>
              <w:rPr>
                <w:b w:val="0"/>
                <w:i w:val="0"/>
                <w:sz w:val="18"/>
              </w:rPr>
              <w:t>0.25C 电池</w:t>
            </w:r>
          </w:p>
        </w:tc>
        <w:tc>
          <w:tcPr>
            <w:tcW w:type="dxa" w:w="1675"/>
            <w:vAlign w:val="center"/>
            <w:tcMar>
              <w:top w:w="90" w:type="dxa"/>
              <w:left w:w="90" w:type="dxa"/>
              <w:bottom w:w="90" w:type="dxa"/>
              <w:right w:w="90" w:type="dxa"/>
            </w:tcMar>
          </w:tcPr>
          <w:p>
            <w:pPr>
              <w:spacing w:after="40" w:line="276" w:lineRule="auto"/>
            </w:pPr>
            <w:r>
              <w:rPr>
                <w:b w:val="0"/>
                <w:i w:val="0"/>
                <w:sz w:val="18"/>
              </w:rPr>
              <w:t>4</w:t>
            </w:r>
          </w:p>
        </w:tc>
        <w:tc>
          <w:tcPr>
            <w:tcW w:type="dxa" w:w="1416"/>
            <w:vAlign w:val="center"/>
            <w:tcMar>
              <w:top w:w="90" w:type="dxa"/>
              <w:left w:w="90" w:type="dxa"/>
              <w:bottom w:w="90" w:type="dxa"/>
              <w:right w:w="90" w:type="dxa"/>
            </w:tcMar>
          </w:tcPr>
          <w:p>
            <w:pPr>
              <w:spacing w:after="40" w:line="276" w:lineRule="auto"/>
            </w:pPr>
            <w:r>
              <w:rPr>
                <w:b w:val="0"/>
                <w:i w:val="0"/>
                <w:sz w:val="18"/>
              </w:rPr>
              <w:t>0.81</w:t>
            </w:r>
          </w:p>
        </w:tc>
        <w:tc>
          <w:tcPr>
            <w:tcW w:type="dxa" w:w="1416"/>
            <w:vAlign w:val="center"/>
            <w:tcMar>
              <w:top w:w="90" w:type="dxa"/>
              <w:left w:w="90" w:type="dxa"/>
              <w:bottom w:w="90" w:type="dxa"/>
              <w:right w:w="90" w:type="dxa"/>
            </w:tcMar>
          </w:tcPr>
          <w:p>
            <w:pPr>
              <w:spacing w:after="40" w:line="276" w:lineRule="auto"/>
            </w:pPr>
            <w:r>
              <w:rPr>
                <w:b w:val="0"/>
                <w:i w:val="0"/>
                <w:sz w:val="18"/>
              </w:rPr>
              <w:t>0.81</w:t>
            </w:r>
          </w:p>
        </w:tc>
        <w:tc>
          <w:tcPr>
            <w:tcW w:type="dxa" w:w="1709"/>
            <w:vAlign w:val="center"/>
            <w:tcMar>
              <w:top w:w="90" w:type="dxa"/>
              <w:left w:w="90" w:type="dxa"/>
              <w:bottom w:w="90" w:type="dxa"/>
              <w:right w:w="90" w:type="dxa"/>
            </w:tcMar>
          </w:tcPr>
          <w:p>
            <w:pPr>
              <w:spacing w:after="40" w:line="276" w:lineRule="auto"/>
            </w:pPr>
            <w:r>
              <w:rPr>
                <w:b w:val="0"/>
                <w:i w:val="0"/>
                <w:sz w:val="18"/>
              </w:rPr>
              <w:t>15</w:t>
            </w:r>
          </w:p>
        </w:tc>
        <w:tc>
          <w:tcPr>
            <w:tcW w:type="dxa" w:w="2043"/>
            <w:vAlign w:val="center"/>
            <w:tcMar>
              <w:top w:w="90" w:type="dxa"/>
              <w:left w:w="90" w:type="dxa"/>
              <w:bottom w:w="90" w:type="dxa"/>
              <w:right w:w="90" w:type="dxa"/>
            </w:tcMar>
          </w:tcPr>
          <w:p>
            <w:pPr>
              <w:spacing w:after="40" w:line="276" w:lineRule="auto"/>
            </w:pPr>
            <w:r>
              <w:rPr>
                <w:b w:val="0"/>
                <w:i w:val="0"/>
                <w:sz w:val="18"/>
              </w:rPr>
              <w:t>8,000</w:t>
            </w:r>
          </w:p>
        </w:tc>
      </w:tr>
      <w:tr>
        <w:trPr>
          <w:cantSplit/>
        </w:trPr>
        <w:tc>
          <w:tcPr>
            <w:tcW w:type="dxa" w:w="1533"/>
            <w:vAlign w:val="center"/>
            <w:tcMar>
              <w:top w:w="90" w:type="dxa"/>
              <w:left w:w="90" w:type="dxa"/>
              <w:bottom w:w="90" w:type="dxa"/>
              <w:right w:w="90" w:type="dxa"/>
            </w:tcMar>
          </w:tcPr>
          <w:p>
            <w:pPr>
              <w:spacing w:after="40" w:line="276" w:lineRule="auto"/>
            </w:pPr>
            <w:r>
              <w:rPr>
                <w:b w:val="0"/>
                <w:i w:val="0"/>
                <w:sz w:val="18"/>
              </w:rPr>
              <w:t>氢储能</w:t>
            </w:r>
          </w:p>
        </w:tc>
        <w:tc>
          <w:tcPr>
            <w:tcW w:type="dxa" w:w="1675"/>
            <w:vAlign w:val="center"/>
            <w:tcMar>
              <w:top w:w="90" w:type="dxa"/>
              <w:left w:w="90" w:type="dxa"/>
              <w:bottom w:w="90" w:type="dxa"/>
              <w:right w:w="90" w:type="dxa"/>
            </w:tcMar>
          </w:tcPr>
          <w:p>
            <w:pPr>
              <w:spacing w:after="40" w:line="276" w:lineRule="auto"/>
            </w:pPr>
            <w:r>
              <w:rPr>
                <w:b w:val="0"/>
                <w:i w:val="0"/>
                <w:sz w:val="18"/>
              </w:rPr>
              <w:t>250</w:t>
            </w:r>
          </w:p>
        </w:tc>
        <w:tc>
          <w:tcPr>
            <w:tcW w:type="dxa" w:w="1416"/>
            <w:vAlign w:val="center"/>
            <w:tcMar>
              <w:top w:w="90" w:type="dxa"/>
              <w:left w:w="90" w:type="dxa"/>
              <w:bottom w:w="90" w:type="dxa"/>
              <w:right w:w="90" w:type="dxa"/>
            </w:tcMar>
          </w:tcPr>
          <w:p>
            <w:pPr>
              <w:spacing w:after="40" w:line="276" w:lineRule="auto"/>
            </w:pPr>
            <w:r>
              <w:rPr>
                <w:b w:val="0"/>
                <w:i w:val="0"/>
                <w:sz w:val="18"/>
              </w:rPr>
              <w:t>0.57</w:t>
            </w:r>
          </w:p>
        </w:tc>
        <w:tc>
          <w:tcPr>
            <w:tcW w:type="dxa" w:w="1416"/>
            <w:vAlign w:val="center"/>
            <w:tcMar>
              <w:top w:w="90" w:type="dxa"/>
              <w:left w:w="90" w:type="dxa"/>
              <w:bottom w:w="90" w:type="dxa"/>
              <w:right w:w="90" w:type="dxa"/>
            </w:tcMar>
          </w:tcPr>
          <w:p>
            <w:pPr>
              <w:spacing w:after="40" w:line="276" w:lineRule="auto"/>
            </w:pPr>
            <w:r>
              <w:rPr>
                <w:b w:val="0"/>
                <w:i w:val="0"/>
                <w:sz w:val="18"/>
              </w:rPr>
              <w:t>0.57</w:t>
            </w:r>
          </w:p>
        </w:tc>
        <w:tc>
          <w:tcPr>
            <w:tcW w:type="dxa" w:w="1709"/>
            <w:vAlign w:val="center"/>
            <w:tcMar>
              <w:top w:w="90" w:type="dxa"/>
              <w:left w:w="90" w:type="dxa"/>
              <w:bottom w:w="90" w:type="dxa"/>
              <w:right w:w="90" w:type="dxa"/>
            </w:tcMar>
          </w:tcPr>
          <w:p>
            <w:pPr>
              <w:spacing w:after="40" w:line="276" w:lineRule="auto"/>
            </w:pPr>
            <w:r>
              <w:rPr>
                <w:b w:val="0"/>
                <w:i w:val="0"/>
                <w:sz w:val="18"/>
              </w:rPr>
              <w:t>10</w:t>
            </w:r>
          </w:p>
        </w:tc>
        <w:tc>
          <w:tcPr>
            <w:tcW w:type="dxa" w:w="2043"/>
            <w:vAlign w:val="center"/>
            <w:tcMar>
              <w:top w:w="90" w:type="dxa"/>
              <w:left w:w="90" w:type="dxa"/>
              <w:bottom w:w="90" w:type="dxa"/>
              <w:right w:w="90" w:type="dxa"/>
            </w:tcMar>
          </w:tcPr>
          <w:p>
            <w:pPr>
              <w:spacing w:after="40" w:line="276" w:lineRule="auto"/>
            </w:pPr>
            <w:r>
              <w:rPr>
                <w:b w:val="0"/>
                <w:i w:val="0"/>
                <w:sz w:val="18"/>
              </w:rPr>
              <w:t>1,000</w:t>
            </w:r>
          </w:p>
        </w:tc>
      </w:tr>
    </w:tbl>
    <w:p>
      <w:pPr>
        <w:spacing w:after="20"/>
      </w:pPr>
    </w:p>
    <w:p>
      <w:r>
        <w:rPr>
          <w:b w:val="0"/>
          <w:i w:val="0"/>
        </w:rPr>
        <w:t xml:space="preserve">各输入沿用其来源价格年的数值。储能成本与政策预算以 2025 年英镑计价；BEIS 资本成本输入保留 2020 年值，欧洲电价样本在币种换算后保留 2022 或 2021 年值，核电政策条目带有其声明的 2015 或 2024 价格年。重启成本采用第 5 章的换算。币种读取器按 </w:t>
      </w:r>
      <w:r>
        <w:rPr>
          <w:rFonts w:ascii="DejaVu Sans Mono" w:hAnsi="DejaVu Sans Mono"/>
          <w:b w:val="0"/>
          <w:i w:val="0"/>
          <w:sz w:val="17"/>
        </w:rPr>
        <w:t>eur_per_gbp</w:t>
      </w:r>
      <w:r>
        <w:rPr>
          <w:b w:val="0"/>
          <w:i w:val="0"/>
        </w:rPr>
        <w:t xml:space="preserve"> 将欧元转换为英镑。</w:t>
      </w:r>
    </w:p>
    <w:p>
      <w:r>
        <w:rPr>
          <w:b w:val="0"/>
          <w:i w:val="0"/>
        </w:rPr>
        <w:t xml:space="preserve">年度政策支出采用 </w:t>
      </w:r>
      <w:r>
        <w:rPr>
          <w:rFonts w:ascii="DejaVu Sans Mono" w:hAnsi="DejaVu Sans Mono"/>
          <w:b w:val="0"/>
          <w:i w:val="0"/>
          <w:sz w:val="17"/>
        </w:rPr>
        <w:t>mechansim cost.xlsx</w:t>
      </w:r>
      <w:r>
        <w:rPr>
          <w:b w:val="0"/>
          <w:i w:val="0"/>
        </w:rPr>
        <w:t xml:space="preserve"> 中的序列。该表汇集 NESO 容量市场与平衡成本、Ofgem RO/FIT/REGO 材料以及 LCCC CfD 数据，第 6 章定义这些输入进入年度核算的方式。</w:t>
      </w:r>
    </w:p>
    <w:p>
      <w:pPr>
        <w:pStyle w:val="Heading2"/>
      </w:pPr>
      <w:r>
        <w:rPr>
          <w:b w:val="0"/>
          <w:i w:val="0"/>
        </w:rPr>
        <w:t>外部市场与分区需求</w:t>
      </w:r>
    </w:p>
    <w:p>
      <w:r>
        <w:rPr>
          <w:b w:val="0"/>
          <w:i w:val="0"/>
        </w:rPr>
        <w:t xml:space="preserve">外部电力交换由时变交换上限和对应市场价格描述。R029 为法国、比利时、荷兰、挪威和爱尔兰各提供一个 17,520 行文件，包含 </w:t>
      </w:r>
      <w:r>
        <w:rPr>
          <w:rFonts w:ascii="DejaVu Sans Mono" w:hAnsi="DejaVu Sans Mono"/>
          <w:b w:val="0"/>
          <w:i w:val="0"/>
          <w:sz w:val="17"/>
        </w:rPr>
        <w:t>flow_mw</w:t>
      </w:r>
      <w:r>
        <w:rPr>
          <w:b w:val="0"/>
          <w:i w:val="0"/>
        </w:rPr>
        <w:t>、</w:t>
      </w:r>
      <w:r>
        <w:rPr>
          <w:rFonts w:ascii="DejaVu Sans Mono" w:hAnsi="DejaVu Sans Mono"/>
          <w:b w:val="0"/>
          <w:i w:val="0"/>
          <w:sz w:val="17"/>
        </w:rPr>
        <w:t>price_gbp_per_mwh</w:t>
      </w:r>
      <w:r>
        <w:rPr>
          <w:b w:val="0"/>
          <w:i w:val="0"/>
        </w:rPr>
        <w:t xml:space="preserve"> 及其时段和来源时间戳。NESO 线路名将 </w:t>
      </w:r>
      <w:r>
        <w:rPr>
          <w:rFonts w:ascii="DejaVu Sans Mono" w:hAnsi="DejaVu Sans Mono"/>
          <w:b w:val="0"/>
          <w:i w:val="0"/>
          <w:sz w:val="17"/>
        </w:rPr>
        <w:t>NEMO_FLOW</w:t>
      </w:r>
      <w:r>
        <w:rPr>
          <w:b w:val="0"/>
          <w:i w:val="0"/>
        </w:rPr>
        <w:t xml:space="preserve"> 对应到比利时、</w:t>
      </w:r>
      <w:r>
        <w:rPr>
          <w:rFonts w:ascii="DejaVu Sans Mono" w:hAnsi="DejaVu Sans Mono"/>
          <w:b w:val="0"/>
          <w:i w:val="0"/>
          <w:sz w:val="17"/>
        </w:rPr>
        <w:t>BRITNED_FLOW</w:t>
      </w:r>
      <w:r>
        <w:rPr>
          <w:b w:val="0"/>
          <w:i w:val="0"/>
        </w:rPr>
        <w:t xml:space="preserve"> 对应到荷兰、</w:t>
      </w:r>
      <w:r>
        <w:rPr>
          <w:rFonts w:ascii="DejaVu Sans Mono" w:hAnsi="DejaVu Sans Mono"/>
          <w:b w:val="0"/>
          <w:i w:val="0"/>
          <w:sz w:val="17"/>
        </w:rPr>
        <w:t>NSL_FLOW</w:t>
      </w:r>
      <w:r>
        <w:rPr>
          <w:b w:val="0"/>
          <w:i w:val="0"/>
        </w:rPr>
        <w:t xml:space="preserve"> 对应到挪威。</w:t>
      </w:r>
    </w:p>
    <w:p>
      <w:r>
        <w:rPr>
          <w:b w:val="0"/>
          <w:i w:val="0"/>
        </w:rPr>
        <w:t xml:space="preserve">外部价格采用 Ember 汇集的 ENTSO-E 日前市场数据。法国、比利时、荷兰和挪威取 2022 年，爱尔兰取 2021 年；每个逐时 EUR/MWh 值除以 1.1 EUR/​GBP，再用于对应的两个半小时，负价保留其符号。R029 保存已转换的 GBP/MWh 值；GBP1 的 </w:t>
      </w:r>
      <w:r>
        <w:rPr>
          <w:rFonts w:ascii="DejaVu Sans Mono" w:hAnsi="DejaVu Sans Mono"/>
          <w:b w:val="0"/>
          <w:i w:val="0"/>
          <w:sz w:val="17"/>
        </w:rPr>
        <w:t>Belgium_price.csv</w:t>
      </w:r>
      <w:r>
        <w:rPr>
          <w:b w:val="0"/>
          <w:i w:val="0"/>
        </w:rPr>
        <w:t xml:space="preserve"> 等文件由 </w:t>
      </w:r>
      <w:r>
        <w:rPr>
          <w:rFonts w:ascii="DejaVu Sans Mono" w:hAnsi="DejaVu Sans Mono"/>
          <w:b w:val="0"/>
          <w:i w:val="0"/>
          <w:sz w:val="17"/>
        </w:rPr>
        <w:t>Price (EUR/MWhe)</w:t>
      </w:r>
      <w:r>
        <w:rPr>
          <w:b w:val="0"/>
          <w:i w:val="0"/>
        </w:rPr>
        <w:t xml:space="preserve"> 列提供输入，通过 </w:t>
      </w:r>
      <w:r>
        <w:rPr>
          <w:rFonts w:ascii="DejaVu Sans Mono" w:hAnsi="DejaVu Sans Mono"/>
          <w:b w:val="0"/>
          <w:i w:val="0"/>
          <w:sz w:val="17"/>
        </w:rPr>
        <w:t>read_series</w:t>
      </w:r>
      <w:r>
        <w:rPr>
          <w:b w:val="0"/>
          <w:i w:val="0"/>
        </w:rPr>
        <w:t xml:space="preserve"> 执行相同换算。</w:t>
      </w:r>
    </w:p>
    <w:p>
      <w:pPr>
        <w:keepNext/>
      </w:pPr>
      <w:r>
        <w:rPr>
          <w:rFonts w:ascii="DejaVu Sans Mono" w:hAnsi="DejaVu Sans Mono"/>
          <w:b w:val="0"/>
          <w:i w:val="0"/>
          <w:sz w:val="17"/>
        </w:rPr>
        <w:t>flow_mw</w:t>
      </w:r>
      <w:r>
        <w:rPr>
          <w:b w:val="0"/>
          <w:i w:val="0"/>
        </w:rPr>
        <w:t xml:space="preserve"> 的正值定义进口上限，负值定义出口上限。乘以 </w:t>
      </w:r>
      <w:r>
        <w:rPr>
          <w:rFonts w:ascii="DejaVu Sans Mono" w:hAnsi="DejaVu Sans Mono"/>
          <w:b w:val="0"/>
          <w:i w:val="0"/>
          <w:sz w:val="17"/>
        </w:rPr>
        <w:t>period_hours</w:t>
      </w:r>
      <w:r>
        <w:rPr>
          <w:b w:val="0"/>
          <w:i w:val="0"/>
        </w:rPr>
        <w:t xml:space="preserve"> 得到带符号的时段电量 </w:t>
      </w:r>
      <w:r>
        <w:rPr>
          <w:rFonts w:ascii="DejaVu Sans Mono" w:hAnsi="DejaVu Sans Mono"/>
          <w:b w:val="0"/>
          <w:i w:val="0"/>
          <w:sz w:val="17"/>
        </w:rPr>
        <w:t>raw_availability</w:t>
      </w:r>
      <w:r>
        <w:rPr>
          <w:b w:val="0"/>
          <w:i w:val="0"/>
        </w:rPr>
        <w:t>，再计算两个非负电量界限：</w:t>
      </w:r>
    </w:p>
    <w:p>
      <w:pPr>
        <w:spacing w:after="160"/>
        <w:jc w:val="center"/>
      </w:pPr>
      <w:r>
        <w:drawing>
          <wp:inline xmlns:a="http://schemas.openxmlformats.org/drawingml/2006/main" xmlns:pic="http://schemas.openxmlformats.org/drawingml/2006/picture">
            <wp:extent cx="4242206" cy="621703"/>
            <wp:docPr id="4" name="Picture 4"/>
            <wp:cNvGraphicFramePr>
              <a:graphicFrameLocks noChangeAspect="1"/>
            </wp:cNvGraphicFramePr>
            <a:graphic>
              <a:graphicData uri="http://schemas.openxmlformats.org/drawingml/2006/picture">
                <pic:pic>
                  <pic:nvPicPr>
                    <pic:cNvPr id="0" name="eq-004.png"/>
                    <pic:cNvPicPr/>
                  </pic:nvPicPr>
                  <pic:blipFill>
                    <a:blip r:embed="rId14"/>
                    <a:stretch>
                      <a:fillRect/>
                    </a:stretch>
                  </pic:blipFill>
                  <pic:spPr>
                    <a:xfrm>
                      <a:off x="0" y="0"/>
                      <a:ext cx="4242206" cy="621703"/>
                    </a:xfrm>
                    <a:prstGeom prst="rect"/>
                  </pic:spPr>
                </pic:pic>
              </a:graphicData>
            </a:graphic>
          </wp:inline>
        </w:drawing>
      </w:r>
    </w:p>
    <w:p>
      <w:r>
        <w:rPr>
          <w:b w:val="0"/>
          <w:i w:val="0"/>
        </w:rPr>
        <w:t>默认全国市场在日前出清中接受进口报价。第 5 章给出交换上限在出清与平衡中的用法，第 7 章将外部边界容量用于分区模型。R029 的输入范围与平均价格为</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02"/>
        <w:gridCol w:w="3013"/>
        <w:gridCol w:w="1902"/>
        <w:gridCol w:w="2975"/>
      </w:tblGrid>
      <w:tr>
        <w:trPr>
          <w:cantSplit/>
          <w:tblHeader w:val="true"/>
        </w:trPr>
        <w:tc>
          <w:tcPr>
            <w:tcW w:type="dxa" w:w="1902"/>
            <w:vAlign w:val="center"/>
            <w:tcMar>
              <w:top w:w="90" w:type="dxa"/>
              <w:left w:w="90" w:type="dxa"/>
              <w:bottom w:w="90" w:type="dxa"/>
              <w:right w:w="90" w:type="dxa"/>
            </w:tcMar>
            <w:shd w:fill="EEEEEE"/>
          </w:tcPr>
          <w:p>
            <w:pPr>
              <w:spacing w:after="40" w:line="276" w:lineRule="auto"/>
            </w:pPr>
            <w:r>
              <w:rPr>
                <w:b/>
                <w:i w:val="0"/>
                <w:sz w:val="18"/>
              </w:rPr>
              <w:t>边界</w:t>
            </w:r>
          </w:p>
        </w:tc>
        <w:tc>
          <w:tcPr>
            <w:tcW w:type="dxa" w:w="3013"/>
            <w:vAlign w:val="center"/>
            <w:tcMar>
              <w:top w:w="90" w:type="dxa"/>
              <w:left w:w="90" w:type="dxa"/>
              <w:bottom w:w="90" w:type="dxa"/>
              <w:right w:w="90" w:type="dxa"/>
            </w:tcMar>
            <w:shd w:fill="EEEEEE"/>
          </w:tcPr>
          <w:p>
            <w:pPr>
              <w:spacing w:after="40" w:line="276" w:lineRule="auto"/>
            </w:pPr>
            <w:r>
              <w:rPr>
                <w:b/>
                <w:i w:val="0"/>
                <w:sz w:val="18"/>
              </w:rPr>
              <w:t>流量范围 MW</w:t>
            </w:r>
          </w:p>
        </w:tc>
        <w:tc>
          <w:tcPr>
            <w:tcW w:type="dxa" w:w="1902"/>
            <w:vAlign w:val="center"/>
            <w:tcMar>
              <w:top w:w="90" w:type="dxa"/>
              <w:left w:w="90" w:type="dxa"/>
              <w:bottom w:w="90" w:type="dxa"/>
              <w:right w:w="90" w:type="dxa"/>
            </w:tcMar>
            <w:shd w:fill="EEEEEE"/>
          </w:tcPr>
          <w:p>
            <w:pPr>
              <w:spacing w:after="40" w:line="276" w:lineRule="auto"/>
            </w:pPr>
            <w:r>
              <w:rPr>
                <w:b/>
                <w:i w:val="0"/>
                <w:sz w:val="18"/>
              </w:rPr>
              <w:t>价格年</w:t>
            </w:r>
          </w:p>
        </w:tc>
        <w:tc>
          <w:tcPr>
            <w:tcW w:type="dxa" w:w="2975"/>
            <w:vAlign w:val="center"/>
            <w:tcMar>
              <w:top w:w="90" w:type="dxa"/>
              <w:left w:w="90" w:type="dxa"/>
              <w:bottom w:w="90" w:type="dxa"/>
              <w:right w:w="90" w:type="dxa"/>
            </w:tcMar>
            <w:shd w:fill="EEEEEE"/>
          </w:tcPr>
          <w:p>
            <w:pPr>
              <w:spacing w:after="40" w:line="276" w:lineRule="auto"/>
            </w:pPr>
            <w:r>
              <w:rPr>
                <w:b/>
                <w:i w:val="0"/>
                <w:sz w:val="18"/>
              </w:rPr>
              <w:t>平均价格 GBP/MWh</w:t>
            </w:r>
          </w:p>
        </w:tc>
      </w:tr>
      <w:tr>
        <w:trPr>
          <w:cantSplit/>
        </w:trPr>
        <w:tc>
          <w:tcPr>
            <w:tcW w:type="dxa" w:w="1902"/>
            <w:vAlign w:val="center"/>
            <w:tcMar>
              <w:top w:w="90" w:type="dxa"/>
              <w:left w:w="90" w:type="dxa"/>
              <w:bottom w:w="90" w:type="dxa"/>
              <w:right w:w="90" w:type="dxa"/>
            </w:tcMar>
          </w:tcPr>
          <w:p>
            <w:pPr>
              <w:spacing w:after="40" w:line="276" w:lineRule="auto"/>
            </w:pPr>
            <w:r>
              <w:rPr>
                <w:b w:val="0"/>
                <w:i w:val="0"/>
                <w:sz w:val="18"/>
              </w:rPr>
              <w:t>比利时</w:t>
            </w:r>
          </w:p>
        </w:tc>
        <w:tc>
          <w:tcPr>
            <w:tcW w:type="dxa" w:w="3013"/>
            <w:vAlign w:val="center"/>
            <w:tcMar>
              <w:top w:w="90" w:type="dxa"/>
              <w:left w:w="90" w:type="dxa"/>
              <w:bottom w:w="90" w:type="dxa"/>
              <w:right w:w="90" w:type="dxa"/>
            </w:tcMar>
          </w:tcPr>
          <w:p>
            <w:pPr>
              <w:spacing w:after="40" w:line="276" w:lineRule="auto"/>
            </w:pPr>
            <w:r>
              <w:rPr>
                <w:b w:val="0"/>
                <w:i w:val="0"/>
                <w:sz w:val="18"/>
              </w:rPr>
              <w:t>−1,022 至 1,020</w:t>
            </w:r>
          </w:p>
        </w:tc>
        <w:tc>
          <w:tcPr>
            <w:tcW w:type="dxa" w:w="1902"/>
            <w:vAlign w:val="center"/>
            <w:tcMar>
              <w:top w:w="90" w:type="dxa"/>
              <w:left w:w="90" w:type="dxa"/>
              <w:bottom w:w="90" w:type="dxa"/>
              <w:right w:w="90" w:type="dxa"/>
            </w:tcMar>
          </w:tcPr>
          <w:p>
            <w:pPr>
              <w:spacing w:after="40" w:line="276" w:lineRule="auto"/>
            </w:pPr>
            <w:r>
              <w:rPr>
                <w:b w:val="0"/>
                <w:i w:val="0"/>
                <w:sz w:val="18"/>
              </w:rPr>
              <w:t>2022</w:t>
            </w:r>
          </w:p>
        </w:tc>
        <w:tc>
          <w:tcPr>
            <w:tcW w:type="dxa" w:w="2975"/>
            <w:vAlign w:val="center"/>
            <w:tcMar>
              <w:top w:w="90" w:type="dxa"/>
              <w:left w:w="90" w:type="dxa"/>
              <w:bottom w:w="90" w:type="dxa"/>
              <w:right w:w="90" w:type="dxa"/>
            </w:tcMar>
          </w:tcPr>
          <w:p>
            <w:pPr>
              <w:spacing w:after="40" w:line="276" w:lineRule="auto"/>
            </w:pPr>
            <w:r>
              <w:rPr>
                <w:b w:val="0"/>
                <w:i w:val="0"/>
                <w:sz w:val="18"/>
              </w:rPr>
              <w:t>222.292608</w:t>
            </w:r>
          </w:p>
        </w:tc>
      </w:tr>
      <w:tr>
        <w:trPr>
          <w:cantSplit/>
        </w:trPr>
        <w:tc>
          <w:tcPr>
            <w:tcW w:type="dxa" w:w="1902"/>
            <w:vAlign w:val="center"/>
            <w:tcMar>
              <w:top w:w="90" w:type="dxa"/>
              <w:left w:w="90" w:type="dxa"/>
              <w:bottom w:w="90" w:type="dxa"/>
              <w:right w:w="90" w:type="dxa"/>
            </w:tcMar>
          </w:tcPr>
          <w:p>
            <w:pPr>
              <w:spacing w:after="40" w:line="276" w:lineRule="auto"/>
            </w:pPr>
            <w:r>
              <w:rPr>
                <w:b w:val="0"/>
                <w:i w:val="0"/>
                <w:sz w:val="18"/>
              </w:rPr>
              <w:t>法国</w:t>
            </w:r>
          </w:p>
        </w:tc>
        <w:tc>
          <w:tcPr>
            <w:tcW w:type="dxa" w:w="3013"/>
            <w:vAlign w:val="center"/>
            <w:tcMar>
              <w:top w:w="90" w:type="dxa"/>
              <w:left w:w="90" w:type="dxa"/>
              <w:bottom w:w="90" w:type="dxa"/>
              <w:right w:w="90" w:type="dxa"/>
            </w:tcMar>
          </w:tcPr>
          <w:p>
            <w:pPr>
              <w:spacing w:after="40" w:line="276" w:lineRule="auto"/>
            </w:pPr>
            <w:r>
              <w:rPr>
                <w:b w:val="0"/>
                <w:i w:val="0"/>
                <w:sz w:val="18"/>
              </w:rPr>
              <w:t>−3,091 至 2,997</w:t>
            </w:r>
          </w:p>
        </w:tc>
        <w:tc>
          <w:tcPr>
            <w:tcW w:type="dxa" w:w="1902"/>
            <w:vAlign w:val="center"/>
            <w:tcMar>
              <w:top w:w="90" w:type="dxa"/>
              <w:left w:w="90" w:type="dxa"/>
              <w:bottom w:w="90" w:type="dxa"/>
              <w:right w:w="90" w:type="dxa"/>
            </w:tcMar>
          </w:tcPr>
          <w:p>
            <w:pPr>
              <w:spacing w:after="40" w:line="276" w:lineRule="auto"/>
            </w:pPr>
            <w:r>
              <w:rPr>
                <w:b w:val="0"/>
                <w:i w:val="0"/>
                <w:sz w:val="18"/>
              </w:rPr>
              <w:t>2022</w:t>
            </w:r>
          </w:p>
        </w:tc>
        <w:tc>
          <w:tcPr>
            <w:tcW w:type="dxa" w:w="2975"/>
            <w:vAlign w:val="center"/>
            <w:tcMar>
              <w:top w:w="90" w:type="dxa"/>
              <w:left w:w="90" w:type="dxa"/>
              <w:bottom w:w="90" w:type="dxa"/>
              <w:right w:w="90" w:type="dxa"/>
            </w:tcMar>
          </w:tcPr>
          <w:p>
            <w:pPr>
              <w:spacing w:after="40" w:line="276" w:lineRule="auto"/>
            </w:pPr>
            <w:r>
              <w:rPr>
                <w:b w:val="0"/>
                <w:i w:val="0"/>
                <w:sz w:val="18"/>
              </w:rPr>
              <w:t>250.789325</w:t>
            </w:r>
          </w:p>
        </w:tc>
      </w:tr>
      <w:tr>
        <w:trPr>
          <w:cantSplit/>
        </w:trPr>
        <w:tc>
          <w:tcPr>
            <w:tcW w:type="dxa" w:w="1902"/>
            <w:vAlign w:val="center"/>
            <w:tcMar>
              <w:top w:w="90" w:type="dxa"/>
              <w:left w:w="90" w:type="dxa"/>
              <w:bottom w:w="90" w:type="dxa"/>
              <w:right w:w="90" w:type="dxa"/>
            </w:tcMar>
          </w:tcPr>
          <w:p>
            <w:pPr>
              <w:spacing w:after="40" w:line="276" w:lineRule="auto"/>
            </w:pPr>
            <w:r>
              <w:rPr>
                <w:b w:val="0"/>
                <w:i w:val="0"/>
                <w:sz w:val="18"/>
              </w:rPr>
              <w:t>爱尔兰</w:t>
            </w:r>
          </w:p>
        </w:tc>
        <w:tc>
          <w:tcPr>
            <w:tcW w:type="dxa" w:w="3013"/>
            <w:vAlign w:val="center"/>
            <w:tcMar>
              <w:top w:w="90" w:type="dxa"/>
              <w:left w:w="90" w:type="dxa"/>
              <w:bottom w:w="90" w:type="dxa"/>
              <w:right w:w="90" w:type="dxa"/>
            </w:tcMar>
          </w:tcPr>
          <w:p>
            <w:pPr>
              <w:spacing w:after="40" w:line="276" w:lineRule="auto"/>
            </w:pPr>
            <w:r>
              <w:rPr>
                <w:b w:val="0"/>
                <w:i w:val="0"/>
                <w:sz w:val="18"/>
              </w:rPr>
              <w:t>−987 至 998</w:t>
            </w:r>
          </w:p>
        </w:tc>
        <w:tc>
          <w:tcPr>
            <w:tcW w:type="dxa" w:w="1902"/>
            <w:vAlign w:val="center"/>
            <w:tcMar>
              <w:top w:w="90" w:type="dxa"/>
              <w:left w:w="90" w:type="dxa"/>
              <w:bottom w:w="90" w:type="dxa"/>
              <w:right w:w="90" w:type="dxa"/>
            </w:tcMar>
          </w:tcPr>
          <w:p>
            <w:pPr>
              <w:spacing w:after="40" w:line="276" w:lineRule="auto"/>
            </w:pPr>
            <w:r>
              <w:rPr>
                <w:b w:val="0"/>
                <w:i w:val="0"/>
                <w:sz w:val="18"/>
              </w:rPr>
              <w:t>2021</w:t>
            </w:r>
          </w:p>
        </w:tc>
        <w:tc>
          <w:tcPr>
            <w:tcW w:type="dxa" w:w="2975"/>
            <w:vAlign w:val="center"/>
            <w:tcMar>
              <w:top w:w="90" w:type="dxa"/>
              <w:left w:w="90" w:type="dxa"/>
              <w:bottom w:w="90" w:type="dxa"/>
              <w:right w:w="90" w:type="dxa"/>
            </w:tcMar>
          </w:tcPr>
          <w:p>
            <w:pPr>
              <w:spacing w:after="40" w:line="276" w:lineRule="auto"/>
            </w:pPr>
            <w:r>
              <w:rPr>
                <w:b w:val="0"/>
                <w:i w:val="0"/>
                <w:sz w:val="18"/>
              </w:rPr>
              <w:t>123.937076</w:t>
            </w:r>
          </w:p>
        </w:tc>
      </w:tr>
      <w:tr>
        <w:trPr>
          <w:cantSplit/>
        </w:trPr>
        <w:tc>
          <w:tcPr>
            <w:tcW w:type="dxa" w:w="1902"/>
            <w:vAlign w:val="center"/>
            <w:tcMar>
              <w:top w:w="90" w:type="dxa"/>
              <w:left w:w="90" w:type="dxa"/>
              <w:bottom w:w="90" w:type="dxa"/>
              <w:right w:w="90" w:type="dxa"/>
            </w:tcMar>
          </w:tcPr>
          <w:p>
            <w:pPr>
              <w:spacing w:after="40" w:line="276" w:lineRule="auto"/>
            </w:pPr>
            <w:r>
              <w:rPr>
                <w:b w:val="0"/>
                <w:i w:val="0"/>
                <w:sz w:val="18"/>
              </w:rPr>
              <w:t>荷兰</w:t>
            </w:r>
          </w:p>
        </w:tc>
        <w:tc>
          <w:tcPr>
            <w:tcW w:type="dxa" w:w="3013"/>
            <w:vAlign w:val="center"/>
            <w:tcMar>
              <w:top w:w="90" w:type="dxa"/>
              <w:left w:w="90" w:type="dxa"/>
              <w:bottom w:w="90" w:type="dxa"/>
              <w:right w:w="90" w:type="dxa"/>
            </w:tcMar>
          </w:tcPr>
          <w:p>
            <w:pPr>
              <w:spacing w:after="40" w:line="276" w:lineRule="auto"/>
            </w:pPr>
            <w:r>
              <w:rPr>
                <w:b w:val="0"/>
                <w:i w:val="0"/>
                <w:sz w:val="18"/>
              </w:rPr>
              <w:t>−1,076 至 1,062</w:t>
            </w:r>
          </w:p>
        </w:tc>
        <w:tc>
          <w:tcPr>
            <w:tcW w:type="dxa" w:w="1902"/>
            <w:vAlign w:val="center"/>
            <w:tcMar>
              <w:top w:w="90" w:type="dxa"/>
              <w:left w:w="90" w:type="dxa"/>
              <w:bottom w:w="90" w:type="dxa"/>
              <w:right w:w="90" w:type="dxa"/>
            </w:tcMar>
          </w:tcPr>
          <w:p>
            <w:pPr>
              <w:spacing w:after="40" w:line="276" w:lineRule="auto"/>
            </w:pPr>
            <w:r>
              <w:rPr>
                <w:b w:val="0"/>
                <w:i w:val="0"/>
                <w:sz w:val="18"/>
              </w:rPr>
              <w:t>2022</w:t>
            </w:r>
          </w:p>
        </w:tc>
        <w:tc>
          <w:tcPr>
            <w:tcW w:type="dxa" w:w="2975"/>
            <w:vAlign w:val="center"/>
            <w:tcMar>
              <w:top w:w="90" w:type="dxa"/>
              <w:left w:w="90" w:type="dxa"/>
              <w:bottom w:w="90" w:type="dxa"/>
              <w:right w:w="90" w:type="dxa"/>
            </w:tcMar>
          </w:tcPr>
          <w:p>
            <w:pPr>
              <w:spacing w:after="40" w:line="276" w:lineRule="auto"/>
            </w:pPr>
            <w:r>
              <w:rPr>
                <w:b w:val="0"/>
                <w:i w:val="0"/>
                <w:sz w:val="18"/>
              </w:rPr>
              <w:t>219.917959</w:t>
            </w:r>
          </w:p>
        </w:tc>
      </w:tr>
      <w:tr>
        <w:trPr>
          <w:cantSplit/>
        </w:trPr>
        <w:tc>
          <w:tcPr>
            <w:tcW w:type="dxa" w:w="1902"/>
            <w:vAlign w:val="center"/>
            <w:tcMar>
              <w:top w:w="90" w:type="dxa"/>
              <w:left w:w="90" w:type="dxa"/>
              <w:bottom w:w="90" w:type="dxa"/>
              <w:right w:w="90" w:type="dxa"/>
            </w:tcMar>
          </w:tcPr>
          <w:p>
            <w:pPr>
              <w:spacing w:after="40" w:line="276" w:lineRule="auto"/>
            </w:pPr>
            <w:r>
              <w:rPr>
                <w:b w:val="0"/>
                <w:i w:val="0"/>
                <w:sz w:val="18"/>
              </w:rPr>
              <w:t>挪威</w:t>
            </w:r>
          </w:p>
        </w:tc>
        <w:tc>
          <w:tcPr>
            <w:tcW w:type="dxa" w:w="3013"/>
            <w:vAlign w:val="center"/>
            <w:tcMar>
              <w:top w:w="90" w:type="dxa"/>
              <w:left w:w="90" w:type="dxa"/>
              <w:bottom w:w="90" w:type="dxa"/>
              <w:right w:w="90" w:type="dxa"/>
            </w:tcMar>
          </w:tcPr>
          <w:p>
            <w:pPr>
              <w:spacing w:after="40" w:line="276" w:lineRule="auto"/>
            </w:pPr>
            <w:r>
              <w:rPr>
                <w:b w:val="0"/>
                <w:i w:val="0"/>
                <w:sz w:val="18"/>
              </w:rPr>
              <w:t>−1,263 至 1,399</w:t>
            </w:r>
          </w:p>
        </w:tc>
        <w:tc>
          <w:tcPr>
            <w:tcW w:type="dxa" w:w="1902"/>
            <w:vAlign w:val="center"/>
            <w:tcMar>
              <w:top w:w="90" w:type="dxa"/>
              <w:left w:w="90" w:type="dxa"/>
              <w:bottom w:w="90" w:type="dxa"/>
              <w:right w:w="90" w:type="dxa"/>
            </w:tcMar>
          </w:tcPr>
          <w:p>
            <w:pPr>
              <w:spacing w:after="40" w:line="276" w:lineRule="auto"/>
            </w:pPr>
            <w:r>
              <w:rPr>
                <w:b w:val="0"/>
                <w:i w:val="0"/>
                <w:sz w:val="18"/>
              </w:rPr>
              <w:t>2022</w:t>
            </w:r>
          </w:p>
        </w:tc>
        <w:tc>
          <w:tcPr>
            <w:tcW w:type="dxa" w:w="2975"/>
            <w:vAlign w:val="center"/>
            <w:tcMar>
              <w:top w:w="90" w:type="dxa"/>
              <w:left w:w="90" w:type="dxa"/>
              <w:bottom w:w="90" w:type="dxa"/>
              <w:right w:w="90" w:type="dxa"/>
            </w:tcMar>
          </w:tcPr>
          <w:p>
            <w:pPr>
              <w:spacing w:after="40" w:line="276" w:lineRule="auto"/>
            </w:pPr>
            <w:r>
              <w:rPr>
                <w:b w:val="0"/>
                <w:i w:val="0"/>
                <w:sz w:val="18"/>
              </w:rPr>
              <w:t>126.503575</w:t>
            </w:r>
          </w:p>
        </w:tc>
      </w:tr>
    </w:tbl>
    <w:p>
      <w:pPr>
        <w:spacing w:after="20"/>
      </w:pPr>
    </w:p>
    <w:p>
      <w:pPr>
        <w:keepNext/>
      </w:pPr>
      <w:r>
        <w:rPr>
          <w:b w:val="0"/>
          <w:i w:val="0"/>
        </w:rPr>
        <w:t>分区需求由全国研究总量和网络输入的地区份额确定。</w:t>
      </w:r>
      <w:r>
        <w:rPr>
          <w:rFonts w:ascii="DejaVu Sans Mono" w:hAnsi="DejaVu Sans Mono"/>
          <w:b w:val="0"/>
          <w:i w:val="0"/>
          <w:sz w:val="17"/>
        </w:rPr>
        <w:t>align_zonal_demand</w:t>
      </w:r>
      <w:r>
        <w:rPr>
          <w:b w:val="0"/>
          <w:i w:val="0"/>
        </w:rPr>
        <w:t xml:space="preserve"> 按 </w:t>
      </w:r>
      <w:r>
        <w:rPr>
          <w:rFonts w:ascii="DejaVu Sans Mono" w:hAnsi="DejaVu Sans Mono"/>
          <w:b w:val="0"/>
          <w:i w:val="0"/>
          <w:sz w:val="17"/>
        </w:rPr>
        <w:t>period_ids</w:t>
      </w:r>
      <w:r>
        <w:rPr>
          <w:b w:val="0"/>
          <w:i w:val="0"/>
        </w:rPr>
        <w:t xml:space="preserve"> 对应网络和研究时段，要求时段标识唯一且具有对应记录。实际需求和预测需求均须为有限非负电量，长度须与时段列表相同。在 </w:t>
      </w:r>
      <w:r>
        <w:rPr>
          <w:rFonts w:ascii="DejaVu Sans Mono" w:hAnsi="DejaVu Sans Mono"/>
          <w:b w:val="0"/>
          <w:i w:val="0"/>
          <w:sz w:val="17"/>
        </w:rPr>
        <w:t>scenario_​scaled_​zonal_​shares</w:t>
      </w:r>
      <w:r>
        <w:rPr>
          <w:b w:val="0"/>
          <w:i w:val="0"/>
        </w:rPr>
        <w:t xml:space="preserve"> 模式下，</w:t>
      </w:r>
      <w:r>
        <w:rPr>
          <w:rFonts w:ascii="DejaVu Sans Mono" w:hAnsi="DejaVu Sans Mono"/>
          <w:b w:val="0"/>
          <w:i w:val="0"/>
          <w:sz w:val="17"/>
        </w:rPr>
        <w:t>output_real</w:t>
      </w:r>
      <w:r>
        <w:rPr>
          <w:b w:val="0"/>
          <w:i w:val="0"/>
        </w:rPr>
        <w:t xml:space="preserve"> 为研究实际电量，</w:t>
      </w:r>
      <w:r>
        <w:rPr>
          <w:rFonts w:ascii="DejaVu Sans Mono" w:hAnsi="DejaVu Sans Mono"/>
          <w:b w:val="0"/>
          <w:i w:val="0"/>
          <w:sz w:val="17"/>
        </w:rPr>
        <w:t>network_national</w:t>
      </w:r>
      <w:r>
        <w:rPr>
          <w:b w:val="0"/>
          <w:i w:val="0"/>
        </w:rPr>
        <w:t xml:space="preserve"> 为该 </w:t>
      </w:r>
      <w:r>
        <w:rPr>
          <w:rFonts w:ascii="DejaVu Sans Mono" w:hAnsi="DejaVu Sans Mono"/>
          <w:b w:val="0"/>
          <w:i w:val="0"/>
          <w:sz w:val="17"/>
        </w:rPr>
        <w:t>index</w:t>
      </w:r>
      <w:r>
        <w:rPr>
          <w:b w:val="0"/>
          <w:i w:val="0"/>
        </w:rPr>
        <w:t xml:space="preserve"> 的网络全国电量，单位均为 MWh：</w:t>
      </w:r>
    </w:p>
    <w:p>
      <w:pPr>
        <w:spacing w:after="160"/>
        <w:jc w:val="center"/>
      </w:pPr>
      <w:r>
        <w:drawing>
          <wp:inline xmlns:a="http://schemas.openxmlformats.org/drawingml/2006/main" xmlns:pic="http://schemas.openxmlformats.org/drawingml/2006/picture">
            <wp:extent cx="5024704" cy="610371"/>
            <wp:docPr id="5" name="Picture 5"/>
            <wp:cNvGraphicFramePr>
              <a:graphicFrameLocks noChangeAspect="1"/>
            </wp:cNvGraphicFramePr>
            <a:graphic>
              <a:graphicData uri="http://schemas.openxmlformats.org/drawingml/2006/picture">
                <pic:pic>
                  <pic:nvPicPr>
                    <pic:cNvPr id="0" name="eq-005.png"/>
                    <pic:cNvPicPr/>
                  </pic:nvPicPr>
                  <pic:blipFill>
                    <a:blip r:embed="rId15"/>
                    <a:stretch>
                      <a:fillRect/>
                    </a:stretch>
                  </pic:blipFill>
                  <pic:spPr>
                    <a:xfrm>
                      <a:off x="0" y="0"/>
                      <a:ext cx="5024704" cy="610371"/>
                    </a:xfrm>
                    <a:prstGeom prst="rect"/>
                  </pic:spPr>
                </pic:pic>
              </a:graphicData>
            </a:graphic>
          </wp:inline>
        </w:drawing>
      </w:r>
    </w:p>
    <w:p>
      <w:r>
        <w:rPr>
          <w:b w:val="0"/>
          <w:i w:val="0"/>
        </w:rPr>
        <w:t>最后一个区域接收全国电量扣除此前各区分配后的余量。两组全国输入均为零时，</w:t>
      </w:r>
      <w:r>
        <w:rPr>
          <w:rFonts w:ascii="DejaVu Sans Mono" w:hAnsi="DejaVu Sans Mono"/>
          <w:b w:val="0"/>
          <w:i w:val="0"/>
          <w:sz w:val="17"/>
        </w:rPr>
        <w:t>scale=1.0</w:t>
      </w:r>
      <w:r>
        <w:rPr>
          <w:b w:val="0"/>
          <w:i w:val="0"/>
        </w:rPr>
        <w:t>；研究需求为正而网络全国需求为零时终止对齐。以下步骤给出完整分配过程，</w:t>
      </w:r>
      <w:r>
        <w:rPr>
          <w:rFonts w:ascii="DejaVu Sans Mono" w:hAnsi="DejaVu Sans Mono"/>
          <w:b w:val="0"/>
          <w:i w:val="0"/>
          <w:sz w:val="17"/>
        </w:rPr>
        <w:t>zone_ids</w:t>
      </w:r>
      <w:r>
        <w:rPr>
          <w:b w:val="0"/>
          <w:i w:val="0"/>
        </w:rPr>
        <w:t xml:space="preserve"> 保留网络声明的区域顺序：</w:t>
      </w:r>
    </w:p>
    <w:p>
      <w:pPr>
        <w:keepLines/>
        <w:spacing w:line="276" w:lineRule="auto" w:after="160"/>
      </w:pPr>
      <w:r>
        <w:rPr>
          <w:rFonts w:ascii="DejaVu Sans Mono" w:hAnsi="DejaVu Sans Mono"/>
          <w:b w:val="0"/>
          <w:i w:val="0"/>
          <w:sz w:val="17"/>
        </w:rPr>
        <w:t>aligned = {zone_id: [] for zone_id in zone_ids}</w:t>
        <w:br/>
        <w:t>for index, period_id in enumerate(periods):</w:t>
        <w:br/>
        <w:t xml:space="preserve">    network_national = network_​national_​mwh[index]</w:t>
        <w:br/>
        <w:t xml:space="preserve">    if network_national == 0.0 and output_real[index] == 0.0:</w:t>
        <w:br/>
        <w:t xml:space="preserve">        scale = 1.0</w:t>
        <w:br/>
        <w:t xml:space="preserve">    elif network_national == 0.0:</w:t>
        <w:br/>
        <w:t xml:space="preserve">        raise ValueError("Zonal demand requires positive network national demand")</w:t>
        <w:br/>
        <w:t xml:space="preserve">    else:</w:t>
        <w:br/>
        <w:t xml:space="preserve">        scale = output_real[index] / network_national</w:t>
        <w:br/>
        <w:t xml:space="preserve">    remaining = output_real[index]</w:t>
        <w:br/>
        <w:t xml:space="preserve">    for zone_id in zone_ids[:-1]:</w:t>
        <w:br/>
        <w:t xml:space="preserve">        value = network_​demand_​mwh_​by_​zone[zone_​id][index] * scale</w:t>
        <w:br/>
        <w:t xml:space="preserve">        aligned[zone_​id].append(value)</w:t>
        <w:br/>
        <w:t xml:space="preserve">        remaining -= value</w:t>
        <w:br/>
        <w:t xml:space="preserve">    aligned[zone_​ids[-1]].append(remaining)</w:t>
        <w:br/>
      </w:r>
    </w:p>
    <w:p>
      <w:r>
        <w:rPr>
          <w:b w:val="0"/>
          <w:i w:val="0"/>
        </w:rPr>
        <w:t xml:space="preserve">可选模式 </w:t>
      </w:r>
      <w:r>
        <w:rPr>
          <w:rFonts w:ascii="DejaVu Sans Mono" w:hAnsi="DejaVu Sans Mono"/>
          <w:b w:val="0"/>
          <w:i w:val="0"/>
          <w:sz w:val="17"/>
        </w:rPr>
        <w:t>network_​pack_​absolute_​demand</w:t>
      </w:r>
      <w:r>
        <w:rPr>
          <w:b w:val="0"/>
          <w:i w:val="0"/>
        </w:rPr>
        <w:t xml:space="preserve"> 将 </w:t>
      </w:r>
      <w:r>
        <w:rPr>
          <w:rFonts w:ascii="DejaVu Sans Mono" w:hAnsi="DejaVu Sans Mono"/>
          <w:b w:val="0"/>
          <w:i w:val="0"/>
          <w:sz w:val="17"/>
        </w:rPr>
        <w:t>output_real</w:t>
      </w:r>
      <w:r>
        <w:rPr>
          <w:b w:val="0"/>
          <w:i w:val="0"/>
        </w:rPr>
        <w:t xml:space="preserve"> 设为 </w:t>
      </w:r>
      <w:r>
        <w:rPr>
          <w:rFonts w:ascii="DejaVu Sans Mono" w:hAnsi="DejaVu Sans Mono"/>
          <w:b w:val="0"/>
          <w:i w:val="0"/>
          <w:sz w:val="17"/>
        </w:rPr>
        <w:t>network_national_mwh</w:t>
      </w:r>
      <w:r>
        <w:rPr>
          <w:b w:val="0"/>
          <w:i w:val="0"/>
        </w:rPr>
        <w:t xml:space="preserve">，并取 </w:t>
      </w:r>
      <w:r>
        <w:rPr>
          <w:rFonts w:ascii="DejaVu Sans Mono" w:hAnsi="DejaVu Sans Mono"/>
          <w:b w:val="0"/>
          <w:i w:val="0"/>
          <w:sz w:val="17"/>
        </w:rPr>
        <w:t>scale=1.0</w:t>
      </w:r>
      <w:r>
        <w:rPr>
          <w:b w:val="0"/>
          <w:i w:val="0"/>
        </w:rPr>
        <w:t xml:space="preserve">；预测电量为 </w:t>
      </w:r>
      <w:r>
        <w:rPr>
          <w:rFonts w:ascii="DejaVu Sans Mono" w:hAnsi="DejaVu Sans Mono"/>
          <w:b w:val="0"/>
          <w:i w:val="0"/>
          <w:sz w:val="17"/>
        </w:rPr>
        <w:t>output_real[index] * forecast[index] / real[index]</w:t>
      </w:r>
      <w:r>
        <w:rPr>
          <w:b w:val="0"/>
          <w:i w:val="0"/>
        </w:rPr>
        <w:t xml:space="preserve">。当 </w:t>
      </w:r>
      <w:r>
        <w:rPr>
          <w:rFonts w:ascii="DejaVu Sans Mono" w:hAnsi="DejaVu Sans Mono"/>
          <w:b w:val="0"/>
          <w:i w:val="0"/>
          <w:sz w:val="17"/>
        </w:rPr>
        <w:t>real[index]</w:t>
      </w:r>
      <w:r>
        <w:rPr>
          <w:b w:val="0"/>
          <w:i w:val="0"/>
        </w:rPr>
        <w:t xml:space="preserve"> 为零时，要求 </w:t>
      </w:r>
      <w:r>
        <w:rPr>
          <w:rFonts w:ascii="DejaVu Sans Mono" w:hAnsi="DejaVu Sans Mono"/>
          <w:b w:val="0"/>
          <w:i w:val="0"/>
          <w:sz w:val="17"/>
        </w:rPr>
        <w:t>forecast[index]</w:t>
      </w:r>
      <w:r>
        <w:rPr>
          <w:b w:val="0"/>
          <w:i w:val="0"/>
        </w:rPr>
        <w:t xml:space="preserve"> 和 </w:t>
      </w:r>
      <w:r>
        <w:rPr>
          <w:rFonts w:ascii="DejaVu Sans Mono" w:hAnsi="DejaVu Sans Mono"/>
          <w:b w:val="0"/>
          <w:i w:val="0"/>
          <w:sz w:val="17"/>
        </w:rPr>
        <w:t>output_real[index]</w:t>
      </w:r>
      <w:r>
        <w:rPr>
          <w:b w:val="0"/>
          <w:i w:val="0"/>
        </w:rPr>
        <w:t xml:space="preserve"> 同为零，此时预测也取零。最后一区仍采用余量分配，以保留全国电量总和。</w:t>
      </w:r>
    </w:p>
    <w:p>
      <w:pPr>
        <w:pStyle w:val="Heading2"/>
      </w:pPr>
      <w:r>
        <w:rPr>
          <w:b w:val="0"/>
          <w:i w:val="0"/>
        </w:rPr>
        <w:t>VALUE 101 合成输入</w:t>
      </w:r>
    </w:p>
    <w:p>
      <w:pPr>
        <w:keepNext/>
      </w:pPr>
      <w:r>
        <w:rPr>
          <w:b w:val="0"/>
          <w:i w:val="0"/>
        </w:rPr>
        <w:t>VALUE 101 采用确定性需求、天气和投资曲线。</w:t>
      </w:r>
      <w:r>
        <w:rPr>
          <w:rFonts w:ascii="DejaVu Sans Mono" w:hAnsi="DejaVu Sans Mono"/>
          <w:b w:val="0"/>
          <w:i w:val="0"/>
          <w:sz w:val="17"/>
        </w:rPr>
        <w:t>_demand</w:t>
      </w:r>
      <w:r>
        <w:rPr>
          <w:b w:val="0"/>
          <w:i w:val="0"/>
        </w:rPr>
        <w:t xml:space="preserve"> 返回从零开始的半小时时段编号 </w:t>
      </w:r>
      <w:r>
        <w:rPr>
          <w:rFonts w:ascii="DejaVu Sans Mono" w:hAnsi="DejaVu Sans Mono"/>
          <w:b w:val="0"/>
          <w:i w:val="0"/>
          <w:sz w:val="17"/>
        </w:rPr>
        <w:t>period</w:t>
      </w:r>
      <w:r>
        <w:rPr>
          <w:b w:val="0"/>
          <w:i w:val="0"/>
        </w:rPr>
        <w:t xml:space="preserve"> 对应的 MW，</w:t>
      </w:r>
      <w:r>
        <w:rPr>
          <w:rFonts w:ascii="DejaVu Sans Mono" w:hAnsi="DejaVu Sans Mono"/>
          <w:b w:val="0"/>
          <w:i w:val="0"/>
          <w:sz w:val="17"/>
        </w:rPr>
        <w:t>day</w:t>
      </w:r>
      <w:r>
        <w:rPr>
          <w:b w:val="0"/>
          <w:i w:val="0"/>
        </w:rPr>
        <w:t xml:space="preserve"> 和 </w:t>
      </w:r>
      <w:r>
        <w:rPr>
          <w:rFonts w:ascii="DejaVu Sans Mono" w:hAnsi="DejaVu Sans Mono"/>
          <w:b w:val="0"/>
          <w:i w:val="0"/>
          <w:sz w:val="17"/>
        </w:rPr>
        <w:t>hour</w:t>
      </w:r>
      <w:r>
        <w:rPr>
          <w:b w:val="0"/>
          <w:i w:val="0"/>
        </w:rPr>
        <w:t xml:space="preserve"> 表示该期的日与小时。</w:t>
      </w:r>
      <w:r>
        <w:rPr>
          <w:rFonts w:ascii="DejaVu Sans Mono" w:hAnsi="DejaVu Sans Mono"/>
          <w:b w:val="0"/>
          <w:i w:val="0"/>
          <w:sz w:val="17"/>
        </w:rPr>
        <w:t>day % 7 &lt; 5</w:t>
      </w:r>
      <w:r>
        <w:rPr>
          <w:b w:val="0"/>
          <w:i w:val="0"/>
        </w:rPr>
        <w:t xml:space="preserve"> 时 </w:t>
      </w:r>
      <w:r>
        <w:rPr>
          <w:rFonts w:ascii="DejaVu Sans Mono" w:hAnsi="DejaVu Sans Mono"/>
          <w:b w:val="0"/>
          <w:i w:val="0"/>
          <w:sz w:val="17"/>
        </w:rPr>
        <w:t>weekday</w:t>
      </w:r>
      <w:r>
        <w:rPr>
          <w:b w:val="0"/>
          <w:i w:val="0"/>
        </w:rPr>
        <w:t xml:space="preserve"> 取 1，其余取 0.92；第 0、182 日的 </w:t>
      </w:r>
      <w:r>
        <w:rPr>
          <w:rFonts w:ascii="DejaVu Sans Mono" w:hAnsi="DejaVu Sans Mono"/>
          <w:b w:val="0"/>
          <w:i w:val="0"/>
          <w:sz w:val="17"/>
        </w:rPr>
        <w:t>period % 48 == 31</w:t>
      </w:r>
      <w:r>
        <w:rPr>
          <w:b w:val="0"/>
          <w:i w:val="0"/>
        </w:rPr>
        <w:t xml:space="preserve"> 时，</w:t>
      </w:r>
      <w:r>
        <w:rPr>
          <w:rFonts w:ascii="DejaVu Sans Mono" w:hAnsi="DejaVu Sans Mono"/>
          <w:b w:val="0"/>
          <w:i w:val="0"/>
          <w:sz w:val="17"/>
        </w:rPr>
        <w:t>teaching_peak</w:t>
      </w:r>
      <w:r>
        <w:rPr>
          <w:b w:val="0"/>
          <w:i w:val="0"/>
        </w:rPr>
        <w:t xml:space="preserve"> 取 30 MW，其余为零：</w:t>
      </w:r>
    </w:p>
    <w:p>
      <w:pPr>
        <w:spacing w:after="160"/>
        <w:jc w:val="center"/>
      </w:pPr>
      <w:r>
        <w:drawing>
          <wp:inline xmlns:a="http://schemas.openxmlformats.org/drawingml/2006/main" xmlns:pic="http://schemas.openxmlformats.org/drawingml/2006/picture">
            <wp:extent cx="4503953" cy="1188861"/>
            <wp:docPr id="6" name="Picture 6"/>
            <wp:cNvGraphicFramePr>
              <a:graphicFrameLocks noChangeAspect="1"/>
            </wp:cNvGraphicFramePr>
            <a:graphic>
              <a:graphicData uri="http://schemas.openxmlformats.org/drawingml/2006/picture">
                <pic:pic>
                  <pic:nvPicPr>
                    <pic:cNvPr id="0" name="eq-006.png"/>
                    <pic:cNvPicPr/>
                  </pic:nvPicPr>
                  <pic:blipFill>
                    <a:blip r:embed="rId16"/>
                    <a:stretch>
                      <a:fillRect/>
                    </a:stretch>
                  </pic:blipFill>
                  <pic:spPr>
                    <a:xfrm>
                      <a:off x="0" y="0"/>
                      <a:ext cx="4503953" cy="1188861"/>
                    </a:xfrm>
                    <a:prstGeom prst="rect"/>
                  </pic:spPr>
                </pic:pic>
              </a:graphicData>
            </a:graphic>
          </wp:inline>
        </w:drawing>
      </w:r>
    </w:p>
    <w:p>
      <w:pPr>
        <w:spacing w:after="160"/>
        <w:jc w:val="center"/>
      </w:pPr>
      <w:r>
        <w:drawing>
          <wp:inline xmlns:a="http://schemas.openxmlformats.org/drawingml/2006/main" xmlns:pic="http://schemas.openxmlformats.org/drawingml/2006/picture">
            <wp:extent cx="5365089" cy="464045"/>
            <wp:docPr id="7" name="Picture 7"/>
            <wp:cNvGraphicFramePr>
              <a:graphicFrameLocks noChangeAspect="1"/>
            </wp:cNvGraphicFramePr>
            <a:graphic>
              <a:graphicData uri="http://schemas.openxmlformats.org/drawingml/2006/picture">
                <pic:pic>
                  <pic:nvPicPr>
                    <pic:cNvPr id="0" name="eq-007.png"/>
                    <pic:cNvPicPr/>
                  </pic:nvPicPr>
                  <pic:blipFill>
                    <a:blip r:embed="rId17"/>
                    <a:stretch>
                      <a:fillRect/>
                    </a:stretch>
                  </pic:blipFill>
                  <pic:spPr>
                    <a:xfrm>
                      <a:off x="0" y="0"/>
                      <a:ext cx="5365089" cy="464045"/>
                    </a:xfrm>
                    <a:prstGeom prst="rect"/>
                  </pic:spPr>
                </pic:pic>
              </a:graphicData>
            </a:graphic>
          </wp:inline>
        </w:drawing>
      </w:r>
    </w:p>
    <w:p>
      <w:r>
        <w:rPr>
          <w:b w:val="0"/>
          <w:i w:val="0"/>
        </w:rPr>
        <w:t xml:space="preserve">日前预测为 </w:t>
      </w:r>
      <w:r>
        <w:rPr>
          <w:rFonts w:ascii="DejaVu Sans Mono" w:hAnsi="DejaVu Sans Mono"/>
          <w:b w:val="0"/>
          <w:i w:val="0"/>
          <w:sz w:val="17"/>
        </w:rPr>
        <w:t>_demand(period) + balancing_margin</w:t>
      </w:r>
      <w:r>
        <w:rPr>
          <w:b w:val="0"/>
          <w:i w:val="0"/>
        </w:rPr>
        <w:t xml:space="preserve">，保留六位小数。第 0、182 日的 </w:t>
      </w:r>
      <w:r>
        <w:rPr>
          <w:rFonts w:ascii="DejaVu Sans Mono" w:hAnsi="DejaVu Sans Mono"/>
          <w:b w:val="0"/>
          <w:i w:val="0"/>
          <w:sz w:val="17"/>
        </w:rPr>
        <w:t>period % 48 == 30</w:t>
      </w:r>
      <w:r>
        <w:rPr>
          <w:b w:val="0"/>
          <w:i w:val="0"/>
        </w:rPr>
        <w:t xml:space="preserve"> 时，</w:t>
      </w:r>
      <w:r>
        <w:rPr>
          <w:rFonts w:ascii="DejaVu Sans Mono" w:hAnsi="DejaVu Sans Mono"/>
          <w:b w:val="0"/>
          <w:i w:val="0"/>
          <w:sz w:val="17"/>
        </w:rPr>
        <w:t>balancing_margin</w:t>
      </w:r>
      <w:r>
        <w:rPr>
          <w:b w:val="0"/>
          <w:i w:val="0"/>
        </w:rPr>
        <w:t xml:space="preserve"> 取 12 MW，其余为零。这两次 12 MW 附加量分别位于实际需求峰值前半小时。</w:t>
      </w:r>
    </w:p>
    <w:p>
      <w:pPr>
        <w:keepNext/>
      </w:pPr>
      <w:r>
        <w:rPr>
          <w:b w:val="0"/>
          <w:i w:val="0"/>
        </w:rPr>
        <w:t>光伏投资系数由日照项与季节项相乘得到。</w:t>
      </w:r>
      <w:r>
        <w:rPr>
          <w:rFonts w:ascii="DejaVu Sans Mono" w:hAnsi="DejaVu Sans Mono"/>
          <w:b w:val="0"/>
          <w:i w:val="0"/>
          <w:sz w:val="17"/>
        </w:rPr>
        <w:t>hour &lt; 6</w:t>
      </w:r>
      <w:r>
        <w:rPr>
          <w:b w:val="0"/>
          <w:i w:val="0"/>
        </w:rPr>
        <w:t xml:space="preserve"> 或 </w:t>
      </w:r>
      <w:r>
        <w:rPr>
          <w:rFonts w:ascii="DejaVu Sans Mono" w:hAnsi="DejaVu Sans Mono"/>
          <w:b w:val="0"/>
          <w:i w:val="0"/>
          <w:sz w:val="17"/>
        </w:rPr>
        <w:t>hour &gt; 18</w:t>
      </w:r>
      <w:r>
        <w:rPr>
          <w:b w:val="0"/>
          <w:i w:val="0"/>
        </w:rPr>
        <w:t xml:space="preserve"> 时 </w:t>
      </w:r>
      <w:r>
        <w:rPr>
          <w:rFonts w:ascii="DejaVu Sans Mono" w:hAnsi="DejaVu Sans Mono"/>
          <w:b w:val="0"/>
          <w:i w:val="0"/>
          <w:sz w:val="17"/>
        </w:rPr>
        <w:t>_solar_profile</w:t>
      </w:r>
      <w:r>
        <w:rPr>
          <w:b w:val="0"/>
          <w:i w:val="0"/>
        </w:rPr>
        <w:t xml:space="preserve"> 返回零；日照窗口内沿用同一 </w:t>
      </w:r>
      <w:r>
        <w:rPr>
          <w:rFonts w:ascii="DejaVu Sans Mono" w:hAnsi="DejaVu Sans Mono"/>
          <w:b w:val="0"/>
          <w:i w:val="0"/>
          <w:sz w:val="17"/>
        </w:rPr>
        <w:t>day</w:t>
      </w:r>
      <w:r>
        <w:rPr>
          <w:b w:val="0"/>
          <w:i w:val="0"/>
        </w:rPr>
        <w:t>、</w:t>
      </w:r>
      <w:r>
        <w:rPr>
          <w:rFonts w:ascii="DejaVu Sans Mono" w:hAnsi="DejaVu Sans Mono"/>
          <w:b w:val="0"/>
          <w:i w:val="0"/>
          <w:sz w:val="17"/>
        </w:rPr>
        <w:t>hour</w:t>
      </w:r>
      <w:r>
        <w:rPr>
          <w:b w:val="0"/>
          <w:i w:val="0"/>
        </w:rPr>
        <w:t xml:space="preserve"> 定义：</w:t>
      </w:r>
    </w:p>
    <w:p>
      <w:pPr>
        <w:spacing w:after="160"/>
        <w:jc w:val="center"/>
      </w:pPr>
      <w:r>
        <w:drawing>
          <wp:inline xmlns:a="http://schemas.openxmlformats.org/drawingml/2006/main" xmlns:pic="http://schemas.openxmlformats.org/drawingml/2006/picture">
            <wp:extent cx="5693283" cy="679078"/>
            <wp:docPr id="8" name="Picture 8"/>
            <wp:cNvGraphicFramePr>
              <a:graphicFrameLocks noChangeAspect="1"/>
            </wp:cNvGraphicFramePr>
            <a:graphic>
              <a:graphicData uri="http://schemas.openxmlformats.org/drawingml/2006/picture">
                <pic:pic>
                  <pic:nvPicPr>
                    <pic:cNvPr id="0" name="eq-008.png"/>
                    <pic:cNvPicPr/>
                  </pic:nvPicPr>
                  <pic:blipFill>
                    <a:blip r:embed="rId18"/>
                    <a:stretch>
                      <a:fillRect/>
                    </a:stretch>
                  </pic:blipFill>
                  <pic:spPr>
                    <a:xfrm>
                      <a:off x="0" y="0"/>
                      <a:ext cx="5693283" cy="679078"/>
                    </a:xfrm>
                    <a:prstGeom prst="rect"/>
                  </pic:spPr>
                </pic:pic>
              </a:graphicData>
            </a:graphic>
          </wp:inline>
        </w:drawing>
      </w:r>
    </w:p>
    <w:p>
      <w:pPr>
        <w:keepNext/>
      </w:pPr>
      <w:r>
        <w:rPr>
          <w:b w:val="0"/>
          <w:i w:val="0"/>
        </w:rPr>
        <w:t>风电投资系数叠加日内、29 日和年度分量。</w:t>
      </w:r>
      <w:r>
        <w:rPr>
          <w:rFonts w:ascii="DejaVu Sans Mono" w:hAnsi="DejaVu Sans Mono"/>
          <w:b w:val="0"/>
          <w:i w:val="0"/>
          <w:sz w:val="17"/>
        </w:rPr>
        <w:t>_wind_profile</w:t>
      </w:r>
      <w:r>
        <w:rPr>
          <w:b w:val="0"/>
          <w:i w:val="0"/>
        </w:rPr>
        <w:t xml:space="preserve"> 将结果限定在 0.08–0.92，并保留六位小数：</w:t>
      </w:r>
    </w:p>
    <w:p>
      <w:pPr>
        <w:spacing w:after="160"/>
        <w:jc w:val="center"/>
      </w:pPr>
      <w:r>
        <w:drawing>
          <wp:inline xmlns:a="http://schemas.openxmlformats.org/drawingml/2006/main" xmlns:pic="http://schemas.openxmlformats.org/drawingml/2006/picture">
            <wp:extent cx="5018074" cy="1104205"/>
            <wp:docPr id="9" name="Picture 9"/>
            <wp:cNvGraphicFramePr>
              <a:graphicFrameLocks noChangeAspect="1"/>
            </wp:cNvGraphicFramePr>
            <a:graphic>
              <a:graphicData uri="http://schemas.openxmlformats.org/drawingml/2006/picture">
                <pic:pic>
                  <pic:nvPicPr>
                    <pic:cNvPr id="0" name="eq-009.png"/>
                    <pic:cNvPicPr/>
                  </pic:nvPicPr>
                  <pic:blipFill>
                    <a:blip r:embed="rId19"/>
                    <a:stretch>
                      <a:fillRect/>
                    </a:stretch>
                  </pic:blipFill>
                  <pic:spPr>
                    <a:xfrm>
                      <a:off x="0" y="0"/>
                      <a:ext cx="5018074" cy="1104205"/>
                    </a:xfrm>
                    <a:prstGeom prst="rect"/>
                  </pic:spPr>
                </pic:pic>
              </a:graphicData>
            </a:graphic>
          </wp:inline>
        </w:drawing>
      </w:r>
    </w:p>
    <w:p>
      <w:r>
        <w:rPr>
          <w:b w:val="0"/>
          <w:i w:val="0"/>
        </w:rPr>
        <w:t xml:space="preserve">海风投资系数取 </w:t>
      </w:r>
      <w:r>
        <w:rPr>
          <w:rFonts w:ascii="DejaVu Sans Mono" w:hAnsi="DejaVu Sans Mono"/>
          <w:b w:val="0"/>
          <w:i w:val="0"/>
          <w:sz w:val="17"/>
        </w:rPr>
        <w:t>_wind_profile(period)</w:t>
      </w:r>
      <w:r>
        <w:rPr>
          <w:b w:val="0"/>
          <w:i w:val="0"/>
        </w:rPr>
        <w:t xml:space="preserve"> 的 1.08 倍，上限为 1，保留六位小数。光伏、陆风、海风数组分别绑定至 </w:t>
      </w:r>
      <w:r>
        <w:rPr>
          <w:rFonts w:ascii="DejaVu Sans Mono" w:hAnsi="DejaVu Sans Mono"/>
          <w:b w:val="0"/>
          <w:i w:val="0"/>
          <w:sz w:val="17"/>
        </w:rPr>
        <w:t>profiles.vre_solar</w:t>
      </w:r>
      <w:r>
        <w:rPr>
          <w:b w:val="0"/>
          <w:i w:val="0"/>
        </w:rPr>
        <w:t>、</w:t>
      </w:r>
      <w:r>
        <w:rPr>
          <w:rFonts w:ascii="DejaVu Sans Mono" w:hAnsi="DejaVu Sans Mono"/>
          <w:b w:val="0"/>
          <w:i w:val="0"/>
          <w:sz w:val="17"/>
        </w:rPr>
        <w:t>profiles.vre_onshore</w:t>
      </w:r>
      <w:r>
        <w:rPr>
          <w:b w:val="0"/>
          <w:i w:val="0"/>
        </w:rPr>
        <w:t>、</w:t>
      </w:r>
      <w:r>
        <w:rPr>
          <w:rFonts w:ascii="DejaVu Sans Mono" w:hAnsi="DejaVu Sans Mono"/>
          <w:b w:val="0"/>
          <w:i w:val="0"/>
          <w:sz w:val="17"/>
        </w:rPr>
        <w:t>profiles.vre_offshore</w:t>
      </w:r>
      <w:r>
        <w:rPr>
          <w:b w:val="0"/>
          <w:i w:val="0"/>
        </w:rPr>
        <w:t>。</w:t>
      </w:r>
    </w:p>
    <w:p>
      <w:pPr>
        <w:keepNext/>
      </w:pPr>
      <w:r>
        <w:rPr>
          <w:b w:val="0"/>
          <w:i w:val="0"/>
        </w:rPr>
        <w:t xml:space="preserve">合成天气在 52°N、0°E 处设一个格点，给定 8,760 个小时值。此处 </w:t>
      </w:r>
      <w:r>
        <w:rPr>
          <w:rFonts w:ascii="DejaVu Sans Mono" w:hAnsi="DejaVu Sans Mono"/>
          <w:b w:val="0"/>
          <w:i w:val="0"/>
          <w:sz w:val="17"/>
        </w:rPr>
        <w:t>hour</w:t>
      </w:r>
      <w:r>
        <w:rPr>
          <w:b w:val="0"/>
          <w:i w:val="0"/>
        </w:rPr>
        <w:t xml:space="preserve"> 为从零开始的全年小时编号，</w:t>
      </w:r>
      <w:r>
        <w:rPr>
          <w:rFonts w:ascii="DejaVu Sans Mono" w:hAnsi="DejaVu Sans Mono"/>
          <w:b w:val="0"/>
          <w:i w:val="0"/>
          <w:sz w:val="17"/>
        </w:rPr>
        <w:t>hourly_solar</w:t>
      </w:r>
      <w:r>
        <w:rPr>
          <w:b w:val="0"/>
          <w:i w:val="0"/>
        </w:rPr>
        <w:t xml:space="preserve"> 为 J/m² 累计辐射，</w:t>
      </w:r>
      <w:r>
        <w:rPr>
          <w:rFonts w:ascii="DejaVu Sans Mono" w:hAnsi="DejaVu Sans Mono"/>
          <w:b w:val="0"/>
          <w:i w:val="0"/>
          <w:sz w:val="17"/>
        </w:rPr>
        <w:t>hourly_wind</w:t>
      </w:r>
      <w:r>
        <w:rPr>
          <w:b w:val="0"/>
          <w:i w:val="0"/>
        </w:rPr>
        <w:t xml:space="preserve"> 为 m/s 风速：</w:t>
      </w:r>
    </w:p>
    <w:p>
      <w:pPr>
        <w:spacing w:after="160"/>
        <w:jc w:val="center"/>
      </w:pPr>
      <w:r>
        <w:drawing>
          <wp:inline xmlns:a="http://schemas.openxmlformats.org/drawingml/2006/main" xmlns:pic="http://schemas.openxmlformats.org/drawingml/2006/picture">
            <wp:extent cx="4581296" cy="621813"/>
            <wp:docPr id="10" name="Picture 10"/>
            <wp:cNvGraphicFramePr>
              <a:graphicFrameLocks noChangeAspect="1"/>
            </wp:cNvGraphicFramePr>
            <a:graphic>
              <a:graphicData uri="http://schemas.openxmlformats.org/drawingml/2006/picture">
                <pic:pic>
                  <pic:nvPicPr>
                    <pic:cNvPr id="0" name="eq-010.png"/>
                    <pic:cNvPicPr/>
                  </pic:nvPicPr>
                  <pic:blipFill>
                    <a:blip r:embed="rId20"/>
                    <a:stretch>
                      <a:fillRect/>
                    </a:stretch>
                  </pic:blipFill>
                  <pic:spPr>
                    <a:xfrm>
                      <a:off x="0" y="0"/>
                      <a:ext cx="4581296" cy="621813"/>
                    </a:xfrm>
                    <a:prstGeom prst="rect"/>
                  </pic:spPr>
                </pic:pic>
              </a:graphicData>
            </a:graphic>
          </wp:inline>
        </w:drawing>
      </w:r>
    </w:p>
    <w:p>
      <w:r>
        <w:rPr>
          <w:b w:val="0"/>
          <w:i w:val="0"/>
        </w:rPr>
        <w:t>调度按第 3 章风电曲线转换上述风速，并按该章瞬时输入规则转换太阳序列；投资采用前述系数。法国边界采用恒定 12 MW 进口上限和 82 GBP/MWh 电价，其余四个边界交换容量为零，价格输入为 200 GBP/MWh。</w:t>
      </w:r>
      <w:r>
        <w:rPr>
          <w:rFonts w:ascii="DejaVu Sans Mono" w:hAnsi="DejaVu Sans Mono"/>
          <w:b w:val="0"/>
          <w:i w:val="0"/>
          <w:sz w:val="17"/>
        </w:rPr>
        <w:t>build_value_101_packs</w:t>
      </w:r>
      <w:r>
        <w:rPr>
          <w:b w:val="0"/>
          <w:i w:val="0"/>
        </w:rPr>
        <w:t xml:space="preserve"> 将这些序列写入教学输入。</w:t>
      </w:r>
    </w:p>
    <w:p>
      <w:pPr>
        <w:pStyle w:val="Heading1"/>
      </w:pPr>
      <w:r>
        <w:rPr>
          <w:b w:val="0"/>
          <w:i w:val="0"/>
        </w:rPr>
        <w:t>3 天气与可用出力</w:t>
      </w:r>
    </w:p>
    <w:p>
      <w:pPr>
        <w:keepNext/>
      </w:pPr>
      <w:r>
        <w:rPr>
          <w:b w:val="0"/>
          <w:i w:val="0"/>
        </w:rPr>
        <w:t>风光资产的可用出力由装机容量和其代表位置的天气共同计算。</w:t>
      </w:r>
      <w:r>
        <w:rPr>
          <w:rFonts w:ascii="DejaVu Sans Mono" w:hAnsi="DejaVu Sans Mono"/>
          <w:b w:val="0"/>
          <w:i w:val="0"/>
          <w:sz w:val="17"/>
        </w:rPr>
        <w:t>capacity_mw</w:t>
      </w:r>
      <w:r>
        <w:rPr>
          <w:b w:val="0"/>
          <w:i w:val="0"/>
        </w:rPr>
        <w:t xml:space="preserve"> 为装机 MW，</w:t>
      </w:r>
      <w:r>
        <w:rPr>
          <w:rFonts w:ascii="DejaVu Sans Mono" w:hAnsi="DejaVu Sans Mono"/>
          <w:b w:val="0"/>
          <w:i w:val="0"/>
          <w:sz w:val="17"/>
        </w:rPr>
        <w:t>availability</w:t>
      </w:r>
      <w:r>
        <w:rPr>
          <w:b w:val="0"/>
          <w:i w:val="0"/>
        </w:rPr>
        <w:t xml:space="preserve"> 为无量纲天气转换系数，</w:t>
      </w:r>
      <w:r>
        <w:rPr>
          <w:rFonts w:ascii="DejaVu Sans Mono" w:hAnsi="DejaVu Sans Mono"/>
          <w:b w:val="0"/>
          <w:i w:val="0"/>
          <w:sz w:val="17"/>
        </w:rPr>
        <w:t>available_mw</w:t>
      </w:r>
      <w:r>
        <w:rPr>
          <w:b w:val="0"/>
          <w:i w:val="0"/>
        </w:rPr>
        <w:t xml:space="preserve"> 为可用功率，</w:t>
      </w:r>
      <w:r>
        <w:rPr>
          <w:rFonts w:ascii="DejaVu Sans Mono" w:hAnsi="DejaVu Sans Mono"/>
          <w:b w:val="0"/>
          <w:i w:val="0"/>
          <w:sz w:val="17"/>
        </w:rPr>
        <w:t>available_mwh</w:t>
      </w:r>
      <w:r>
        <w:rPr>
          <w:b w:val="0"/>
          <w:i w:val="0"/>
        </w:rPr>
        <w:t xml:space="preserve"> 为单个运行时段的可用电量：</w:t>
      </w:r>
    </w:p>
    <w:p>
      <w:pPr>
        <w:spacing w:after="160"/>
        <w:jc w:val="center"/>
      </w:pPr>
      <w:r>
        <w:drawing>
          <wp:inline xmlns:a="http://schemas.openxmlformats.org/drawingml/2006/main" xmlns:pic="http://schemas.openxmlformats.org/drawingml/2006/picture">
            <wp:extent cx="3837431" cy="621668"/>
            <wp:docPr id="11" name="Picture 11"/>
            <wp:cNvGraphicFramePr>
              <a:graphicFrameLocks noChangeAspect="1"/>
            </wp:cNvGraphicFramePr>
            <a:graphic>
              <a:graphicData uri="http://schemas.openxmlformats.org/drawingml/2006/picture">
                <pic:pic>
                  <pic:nvPicPr>
                    <pic:cNvPr id="0" name="eq-011.png"/>
                    <pic:cNvPicPr/>
                  </pic:nvPicPr>
                  <pic:blipFill>
                    <a:blip r:embed="rId21"/>
                    <a:stretch>
                      <a:fillRect/>
                    </a:stretch>
                  </pic:blipFill>
                  <pic:spPr>
                    <a:xfrm>
                      <a:off x="0" y="0"/>
                      <a:ext cx="3837431" cy="621668"/>
                    </a:xfrm>
                    <a:prstGeom prst="rect"/>
                  </pic:spPr>
                </pic:pic>
              </a:graphicData>
            </a:graphic>
          </wp:inline>
        </w:drawing>
      </w:r>
    </w:p>
    <w:p>
      <w:r>
        <w:rPr>
          <w:b w:val="0"/>
          <w:i w:val="0"/>
        </w:rPr>
        <w:t>天气计算为市场出清提供供给上限，第 4、5、7 章的调度算法确定实际接纳电量。年度投资使用本章末尾的技术平均曲线和第 6 章的容量上限。</w:t>
      </w:r>
    </w:p>
    <w:p>
      <w:pPr>
        <w:pStyle w:val="Heading2"/>
      </w:pPr>
      <w:r>
        <w:rPr>
          <w:b w:val="0"/>
          <w:i w:val="0"/>
        </w:rPr>
        <w:t>天气输入与空间采样</w:t>
      </w:r>
    </w:p>
    <w:p>
      <w:r>
        <w:rPr>
          <w:b w:val="0"/>
          <w:i w:val="0"/>
        </w:rPr>
        <w:t>R029 以 2020–2024 年 ERA5 中相同月、日、小时的平均值表示各日历小时。源序列包含 43,848 个小时，移除两个闰日的 48 小时后，8,760 个保留日历小时各有五个观测值。取算术平均得到的全年序列用于各模型年。</w:t>
      </w:r>
    </w:p>
    <w:p>
      <w:r>
        <w:rPr>
          <w:b w:val="0"/>
          <w:i w:val="0"/>
        </w:rPr>
        <w:t xml:space="preserve">风速先由每个源小时的矢量分量求模，再作日历平均。预处理先计算 </w:t>
      </w:r>
      <w:r>
        <w:rPr>
          <w:rFonts w:ascii="DejaVu Sans Mono" w:hAnsi="DejaVu Sans Mono"/>
          <w:b w:val="0"/>
          <w:i w:val="0"/>
          <w:sz w:val="17"/>
        </w:rPr>
        <w:t>u100</w:t>
      </w:r>
      <w:r>
        <w:rPr>
          <w:b w:val="0"/>
          <w:i w:val="0"/>
        </w:rPr>
        <w:t xml:space="preserve"> 平方与 </w:t>
      </w:r>
      <w:r>
        <w:rPr>
          <w:rFonts w:ascii="DejaVu Sans Mono" w:hAnsi="DejaVu Sans Mono"/>
          <w:b w:val="0"/>
          <w:i w:val="0"/>
          <w:sz w:val="17"/>
        </w:rPr>
        <w:t>v100</w:t>
      </w:r>
      <w:r>
        <w:rPr>
          <w:b w:val="0"/>
          <w:i w:val="0"/>
        </w:rPr>
        <w:t xml:space="preserve"> 平方之和的平方根，其日历均值记为 </w:t>
      </w:r>
      <w:r>
        <w:rPr>
          <w:rFonts w:ascii="DejaVu Sans Mono" w:hAnsi="DejaVu Sans Mono"/>
          <w:b w:val="0"/>
          <w:i w:val="0"/>
          <w:sz w:val="17"/>
        </w:rPr>
        <w:t>wind_speed</w:t>
      </w:r>
      <w:r>
        <w:rPr>
          <w:b w:val="0"/>
          <w:i w:val="0"/>
        </w:rPr>
        <w:t xml:space="preserve">，同时保留 </w:t>
      </w:r>
      <w:r>
        <w:rPr>
          <w:rFonts w:ascii="DejaVu Sans Mono" w:hAnsi="DejaVu Sans Mono"/>
          <w:b w:val="0"/>
          <w:i w:val="0"/>
          <w:sz w:val="17"/>
        </w:rPr>
        <w:t>u100</w:t>
      </w:r>
      <w:r>
        <w:rPr>
          <w:b w:val="0"/>
          <w:i w:val="0"/>
        </w:rPr>
        <w:t xml:space="preserve"> 和 </w:t>
      </w:r>
      <w:r>
        <w:rPr>
          <w:rFonts w:ascii="DejaVu Sans Mono" w:hAnsi="DejaVu Sans Mono"/>
          <w:b w:val="0"/>
          <w:i w:val="0"/>
          <w:sz w:val="17"/>
        </w:rPr>
        <w:t>v100</w:t>
      </w:r>
      <w:r>
        <w:rPr>
          <w:b w:val="0"/>
          <w:i w:val="0"/>
        </w:rPr>
        <w:t xml:space="preserve">。太阳文件保存向下水平累计辐射 </w:t>
      </w:r>
      <w:r>
        <w:rPr>
          <w:rFonts w:ascii="DejaVu Sans Mono" w:hAnsi="DejaVu Sans Mono"/>
          <w:b w:val="0"/>
          <w:i w:val="0"/>
          <w:sz w:val="17"/>
        </w:rPr>
        <w:t>ssrd</w:t>
      </w:r>
      <w:r>
        <w:rPr>
          <w:b w:val="0"/>
          <w:i w:val="0"/>
        </w:rPr>
        <w:t xml:space="preserve">；R029 的两个文件分别为 </w:t>
      </w:r>
      <w:r>
        <w:rPr>
          <w:rFonts w:ascii="DejaVu Sans Mono" w:hAnsi="DejaVu Sans Mono"/>
          <w:b w:val="0"/>
          <w:i w:val="0"/>
          <w:sz w:val="17"/>
        </w:rPr>
        <w:t>calendar_​mean_​wind_​2020_​2024.nc</w:t>
      </w:r>
      <w:r>
        <w:rPr>
          <w:b w:val="0"/>
          <w:i w:val="0"/>
        </w:rPr>
        <w:t xml:space="preserve"> 和 </w:t>
      </w:r>
      <w:r>
        <w:rPr>
          <w:rFonts w:ascii="DejaVu Sans Mono" w:hAnsi="DejaVu Sans Mono"/>
          <w:b w:val="0"/>
          <w:i w:val="0"/>
          <w:sz w:val="17"/>
        </w:rPr>
        <w:t>calendar_​mean_​solar_​2020_​2024.nc</w:t>
      </w:r>
      <w:r>
        <w:rPr>
          <w:b w:val="0"/>
          <w:i w:val="0"/>
        </w:rPr>
        <w:t>。</w:t>
      </w:r>
    </w:p>
    <w:p>
      <w:r>
        <w:rPr>
          <w:b w:val="0"/>
          <w:i w:val="0"/>
        </w:rPr>
        <w:t>天气网格以 0.25° 分辨率覆盖英国及邻近海域。文件的坐标范围与数组大小为</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85"/>
        <w:gridCol w:w="2190"/>
        <w:gridCol w:w="2190"/>
        <w:gridCol w:w="3326"/>
      </w:tblGrid>
      <w:tr>
        <w:trPr>
          <w:cantSplit/>
          <w:tblHeader w:val="true"/>
        </w:trPr>
        <w:tc>
          <w:tcPr>
            <w:tcW w:type="dxa" w:w="2085"/>
            <w:vAlign w:val="center"/>
            <w:tcMar>
              <w:top w:w="90" w:type="dxa"/>
              <w:left w:w="90" w:type="dxa"/>
              <w:bottom w:w="90" w:type="dxa"/>
              <w:right w:w="90" w:type="dxa"/>
            </w:tcMar>
            <w:shd w:fill="EEEEEE"/>
          </w:tcPr>
          <w:p>
            <w:pPr>
              <w:spacing w:after="40" w:line="276" w:lineRule="auto"/>
            </w:pPr>
            <w:r>
              <w:rPr>
                <w:b/>
                <w:i w:val="0"/>
                <w:sz w:val="18"/>
              </w:rPr>
              <w:t>输入</w:t>
            </w:r>
          </w:p>
        </w:tc>
        <w:tc>
          <w:tcPr>
            <w:tcW w:type="dxa" w:w="2190"/>
            <w:vAlign w:val="center"/>
            <w:tcMar>
              <w:top w:w="90" w:type="dxa"/>
              <w:left w:w="90" w:type="dxa"/>
              <w:bottom w:w="90" w:type="dxa"/>
              <w:right w:w="90" w:type="dxa"/>
            </w:tcMar>
            <w:shd w:fill="EEEEEE"/>
          </w:tcPr>
          <w:p>
            <w:pPr>
              <w:spacing w:after="40" w:line="276" w:lineRule="auto"/>
            </w:pPr>
            <w:r>
              <w:rPr>
                <w:b/>
                <w:i w:val="0"/>
                <w:sz w:val="18"/>
              </w:rPr>
              <w:t>纬度范围</w:t>
            </w:r>
          </w:p>
        </w:tc>
        <w:tc>
          <w:tcPr>
            <w:tcW w:type="dxa" w:w="2190"/>
            <w:vAlign w:val="center"/>
            <w:tcMar>
              <w:top w:w="90" w:type="dxa"/>
              <w:left w:w="90" w:type="dxa"/>
              <w:bottom w:w="90" w:type="dxa"/>
              <w:right w:w="90" w:type="dxa"/>
            </w:tcMar>
            <w:shd w:fill="EEEEEE"/>
          </w:tcPr>
          <w:p>
            <w:pPr>
              <w:spacing w:after="40" w:line="276" w:lineRule="auto"/>
            </w:pPr>
            <w:r>
              <w:rPr>
                <w:b/>
                <w:i w:val="0"/>
                <w:sz w:val="18"/>
              </w:rPr>
              <w:t>经度范围</w:t>
            </w:r>
          </w:p>
        </w:tc>
        <w:tc>
          <w:tcPr>
            <w:tcW w:type="dxa" w:w="3326"/>
            <w:vAlign w:val="center"/>
            <w:tcMar>
              <w:top w:w="90" w:type="dxa"/>
              <w:left w:w="90" w:type="dxa"/>
              <w:bottom w:w="90" w:type="dxa"/>
              <w:right w:w="90" w:type="dxa"/>
            </w:tcMar>
            <w:shd w:fill="EEEEEE"/>
          </w:tcPr>
          <w:p>
            <w:pPr>
              <w:spacing w:after="40" w:line="276" w:lineRule="auto"/>
            </w:pPr>
            <w:r>
              <w:rPr>
                <w:b/>
                <w:i w:val="0"/>
                <w:sz w:val="18"/>
              </w:rPr>
              <w:t>纬度 × 经度 × 日 × 小时</w:t>
            </w:r>
          </w:p>
        </w:tc>
      </w:tr>
      <w:tr>
        <w:trPr>
          <w:cantSplit/>
        </w:trPr>
        <w:tc>
          <w:tcPr>
            <w:tcW w:type="dxa" w:w="2085"/>
            <w:vAlign w:val="center"/>
            <w:tcMar>
              <w:top w:w="90" w:type="dxa"/>
              <w:left w:w="90" w:type="dxa"/>
              <w:bottom w:w="90" w:type="dxa"/>
              <w:right w:w="90" w:type="dxa"/>
            </w:tcMar>
          </w:tcPr>
          <w:p>
            <w:pPr>
              <w:spacing w:after="40" w:line="276" w:lineRule="auto"/>
            </w:pPr>
            <w:r>
              <w:rPr>
                <w:b w:val="0"/>
                <w:i w:val="0"/>
                <w:sz w:val="18"/>
              </w:rPr>
              <w:t>太阳辐射</w:t>
            </w:r>
          </w:p>
        </w:tc>
        <w:tc>
          <w:tcPr>
            <w:tcW w:type="dxa" w:w="2190"/>
            <w:vAlign w:val="center"/>
            <w:tcMar>
              <w:top w:w="90" w:type="dxa"/>
              <w:left w:w="90" w:type="dxa"/>
              <w:bottom w:w="90" w:type="dxa"/>
              <w:right w:w="90" w:type="dxa"/>
            </w:tcMar>
          </w:tcPr>
          <w:p>
            <w:pPr>
              <w:spacing w:after="40" w:line="276" w:lineRule="auto"/>
            </w:pPr>
            <w:r>
              <w:rPr>
                <w:b w:val="0"/>
                <w:i w:val="0"/>
                <w:sz w:val="18"/>
              </w:rPr>
              <w:t>45°–65°N</w:t>
            </w:r>
          </w:p>
        </w:tc>
        <w:tc>
          <w:tcPr>
            <w:tcW w:type="dxa" w:w="2190"/>
            <w:vAlign w:val="center"/>
            <w:tcMar>
              <w:top w:w="90" w:type="dxa"/>
              <w:left w:w="90" w:type="dxa"/>
              <w:bottom w:w="90" w:type="dxa"/>
              <w:right w:w="90" w:type="dxa"/>
            </w:tcMar>
          </w:tcPr>
          <w:p>
            <w:pPr>
              <w:spacing w:after="40" w:line="276" w:lineRule="auto"/>
            </w:pPr>
            <w:r>
              <w:rPr>
                <w:b w:val="0"/>
                <w:i w:val="0"/>
                <w:sz w:val="18"/>
              </w:rPr>
              <w:t>14°W–4°E</w:t>
            </w:r>
          </w:p>
        </w:tc>
        <w:tc>
          <w:tcPr>
            <w:tcW w:type="dxa" w:w="3326"/>
            <w:vAlign w:val="center"/>
            <w:tcMar>
              <w:top w:w="90" w:type="dxa"/>
              <w:left w:w="90" w:type="dxa"/>
              <w:bottom w:w="90" w:type="dxa"/>
              <w:right w:w="90" w:type="dxa"/>
            </w:tcMar>
          </w:tcPr>
          <w:p>
            <w:pPr>
              <w:spacing w:after="40" w:line="276" w:lineRule="auto"/>
            </w:pPr>
            <w:r>
              <w:rPr>
                <w:b w:val="0"/>
                <w:i w:val="0"/>
                <w:sz w:val="18"/>
              </w:rPr>
              <w:t>81 × 73 × 365 × 24</w:t>
            </w:r>
          </w:p>
        </w:tc>
      </w:tr>
      <w:tr>
        <w:trPr>
          <w:cantSplit/>
        </w:trPr>
        <w:tc>
          <w:tcPr>
            <w:tcW w:type="dxa" w:w="2085"/>
            <w:vAlign w:val="center"/>
            <w:tcMar>
              <w:top w:w="90" w:type="dxa"/>
              <w:left w:w="90" w:type="dxa"/>
              <w:bottom w:w="90" w:type="dxa"/>
              <w:right w:w="90" w:type="dxa"/>
            </w:tcMar>
          </w:tcPr>
          <w:p>
            <w:pPr>
              <w:spacing w:after="40" w:line="276" w:lineRule="auto"/>
            </w:pPr>
            <w:r>
              <w:rPr>
                <w:b w:val="0"/>
                <w:i w:val="0"/>
                <w:sz w:val="18"/>
              </w:rPr>
              <w:t>100 m 风</w:t>
            </w:r>
          </w:p>
        </w:tc>
        <w:tc>
          <w:tcPr>
            <w:tcW w:type="dxa" w:w="2190"/>
            <w:vAlign w:val="center"/>
            <w:tcMar>
              <w:top w:w="90" w:type="dxa"/>
              <w:left w:w="90" w:type="dxa"/>
              <w:bottom w:w="90" w:type="dxa"/>
              <w:right w:w="90" w:type="dxa"/>
            </w:tcMar>
          </w:tcPr>
          <w:p>
            <w:pPr>
              <w:spacing w:after="40" w:line="276" w:lineRule="auto"/>
            </w:pPr>
            <w:r>
              <w:rPr>
                <w:b w:val="0"/>
                <w:i w:val="0"/>
                <w:sz w:val="18"/>
              </w:rPr>
              <w:t>46°–65°N</w:t>
            </w:r>
          </w:p>
        </w:tc>
        <w:tc>
          <w:tcPr>
            <w:tcW w:type="dxa" w:w="2190"/>
            <w:vAlign w:val="center"/>
            <w:tcMar>
              <w:top w:w="90" w:type="dxa"/>
              <w:left w:w="90" w:type="dxa"/>
              <w:bottom w:w="90" w:type="dxa"/>
              <w:right w:w="90" w:type="dxa"/>
            </w:tcMar>
          </w:tcPr>
          <w:p>
            <w:pPr>
              <w:spacing w:after="40" w:line="276" w:lineRule="auto"/>
            </w:pPr>
            <w:r>
              <w:rPr>
                <w:b w:val="0"/>
                <w:i w:val="0"/>
                <w:sz w:val="18"/>
              </w:rPr>
              <w:t>14°W–5°E</w:t>
            </w:r>
          </w:p>
        </w:tc>
        <w:tc>
          <w:tcPr>
            <w:tcW w:type="dxa" w:w="3326"/>
            <w:vAlign w:val="center"/>
            <w:tcMar>
              <w:top w:w="90" w:type="dxa"/>
              <w:left w:w="90" w:type="dxa"/>
              <w:bottom w:w="90" w:type="dxa"/>
              <w:right w:w="90" w:type="dxa"/>
            </w:tcMar>
          </w:tcPr>
          <w:p>
            <w:pPr>
              <w:spacing w:after="40" w:line="276" w:lineRule="auto"/>
            </w:pPr>
            <w:r>
              <w:rPr>
                <w:b w:val="0"/>
                <w:i w:val="0"/>
                <w:sz w:val="18"/>
              </w:rPr>
              <w:t>77 × 77 × 365 × 24</w:t>
            </w:r>
          </w:p>
        </w:tc>
      </w:tr>
    </w:tbl>
    <w:p>
      <w:pPr>
        <w:spacing w:after="20"/>
      </w:pPr>
    </w:p>
    <w:p>
      <w:pPr>
        <w:keepNext/>
      </w:pPr>
      <w:r>
        <w:rPr>
          <w:b w:val="0"/>
          <w:i w:val="0"/>
        </w:rPr>
        <w:t>各代表点采用最近的网格纬度和经度。</w:t>
      </w:r>
      <w:r>
        <w:rPr>
          <w:rFonts w:ascii="DejaVu Sans Mono" w:hAnsi="DejaVu Sans Mono"/>
          <w:b w:val="0"/>
          <w:i w:val="0"/>
          <w:sz w:val="17"/>
        </w:rPr>
        <w:t>point_series</w:t>
      </w:r>
      <w:r>
        <w:rPr>
          <w:b w:val="0"/>
          <w:i w:val="0"/>
        </w:rPr>
        <w:t xml:space="preserve"> 中，站点 </w:t>
      </w:r>
      <w:r>
        <w:rPr>
          <w:rFonts w:ascii="DejaVu Sans Mono" w:hAnsi="DejaVu Sans Mono"/>
          <w:b w:val="0"/>
          <w:i w:val="0"/>
          <w:sz w:val="17"/>
        </w:rPr>
        <w:t>latitude</w:t>
      </w:r>
      <w:r>
        <w:rPr>
          <w:b w:val="0"/>
          <w:i w:val="0"/>
        </w:rPr>
        <w:t>、</w:t>
      </w:r>
      <w:r>
        <w:rPr>
          <w:rFonts w:ascii="DejaVu Sans Mono" w:hAnsi="DejaVu Sans Mono"/>
          <w:b w:val="0"/>
          <w:i w:val="0"/>
          <w:sz w:val="17"/>
        </w:rPr>
        <w:t>longitude</w:t>
      </w:r>
      <w:r>
        <w:rPr>
          <w:b w:val="0"/>
          <w:i w:val="0"/>
        </w:rPr>
        <w:t xml:space="preserve"> 与网格数组 </w:t>
      </w:r>
      <w:r>
        <w:rPr>
          <w:rFonts w:ascii="DejaVu Sans Mono" w:hAnsi="DejaVu Sans Mono"/>
          <w:b w:val="0"/>
          <w:i w:val="0"/>
          <w:sz w:val="17"/>
        </w:rPr>
        <w:t>lats</w:t>
      </w:r>
      <w:r>
        <w:rPr>
          <w:b w:val="0"/>
          <w:i w:val="0"/>
        </w:rPr>
        <w:t>、</w:t>
      </w:r>
      <w:r>
        <w:rPr>
          <w:rFonts w:ascii="DejaVu Sans Mono" w:hAnsi="DejaVu Sans Mono"/>
          <w:b w:val="0"/>
          <w:i w:val="0"/>
          <w:sz w:val="17"/>
        </w:rPr>
        <w:t>lons</w:t>
      </w:r>
      <w:r>
        <w:rPr>
          <w:b w:val="0"/>
          <w:i w:val="0"/>
        </w:rPr>
        <w:t xml:space="preserve"> 均以度表示；</w:t>
      </w:r>
      <w:r>
        <w:rPr>
          <w:rFonts w:ascii="DejaVu Sans Mono" w:hAnsi="DejaVu Sans Mono"/>
          <w:b w:val="0"/>
          <w:i w:val="0"/>
          <w:sz w:val="17"/>
        </w:rPr>
        <w:t>lat_index</w:t>
      </w:r>
      <w:r>
        <w:rPr>
          <w:b w:val="0"/>
          <w:i w:val="0"/>
        </w:rPr>
        <w:t>、</w:t>
      </w:r>
      <w:r>
        <w:rPr>
          <w:rFonts w:ascii="DejaVu Sans Mono" w:hAnsi="DejaVu Sans Mono"/>
          <w:b w:val="0"/>
          <w:i w:val="0"/>
          <w:sz w:val="17"/>
        </w:rPr>
        <w:t>lon_index</w:t>
      </w:r>
      <w:r>
        <w:rPr>
          <w:b w:val="0"/>
          <w:i w:val="0"/>
        </w:rPr>
        <w:t xml:space="preserve"> 分别选择坐标绝对差最小的位置，等距时取网格数组中的第一项：</w:t>
      </w:r>
    </w:p>
    <w:p>
      <w:pPr>
        <w:spacing w:after="160"/>
        <w:jc w:val="center"/>
      </w:pPr>
      <w:r>
        <w:drawing>
          <wp:inline xmlns:a="http://schemas.openxmlformats.org/drawingml/2006/main" xmlns:pic="http://schemas.openxmlformats.org/drawingml/2006/picture">
            <wp:extent cx="3346170" cy="665120"/>
            <wp:docPr id="12" name="Picture 12"/>
            <wp:cNvGraphicFramePr>
              <a:graphicFrameLocks noChangeAspect="1"/>
            </wp:cNvGraphicFramePr>
            <a:graphic>
              <a:graphicData uri="http://schemas.openxmlformats.org/drawingml/2006/picture">
                <pic:pic>
                  <pic:nvPicPr>
                    <pic:cNvPr id="0" name="eq-012.png"/>
                    <pic:cNvPicPr/>
                  </pic:nvPicPr>
                  <pic:blipFill>
                    <a:blip r:embed="rId22"/>
                    <a:stretch>
                      <a:fillRect/>
                    </a:stretch>
                  </pic:blipFill>
                  <pic:spPr>
                    <a:xfrm>
                      <a:off x="0" y="0"/>
                      <a:ext cx="3346170" cy="665120"/>
                    </a:xfrm>
                    <a:prstGeom prst="rect"/>
                  </pic:spPr>
                </pic:pic>
              </a:graphicData>
            </a:graphic>
          </wp:inline>
        </w:drawing>
      </w:r>
    </w:p>
    <w:p>
      <w:r>
        <w:rPr>
          <w:b w:val="0"/>
          <w:i w:val="0"/>
        </w:rPr>
        <w:t xml:space="preserve">空间抽取接受纬度—经度—日—小时数组和时间—纬度—经度数组，将选定点按源顺序展平为逐时序列。空序列、掩码缺失值、非有限值或其他数组布局会终止天气载入。各站点的 </w:t>
      </w:r>
      <w:r>
        <w:rPr>
          <w:rFonts w:ascii="DejaVu Sans Mono" w:hAnsi="DejaVu Sans Mono"/>
          <w:b w:val="0"/>
          <w:i w:val="0"/>
          <w:sz w:val="17"/>
        </w:rPr>
        <w:t>lat</w:t>
      </w:r>
      <w:r>
        <w:rPr>
          <w:b w:val="0"/>
          <w:i w:val="0"/>
        </w:rPr>
        <w:t>、</w:t>
      </w:r>
      <w:r>
        <w:rPr>
          <w:rFonts w:ascii="DejaVu Sans Mono" w:hAnsi="DejaVu Sans Mono"/>
          <w:b w:val="0"/>
          <w:i w:val="0"/>
          <w:sz w:val="17"/>
        </w:rPr>
        <w:t>lon</w:t>
      </w:r>
      <w:r>
        <w:rPr>
          <w:b w:val="0"/>
          <w:i w:val="0"/>
        </w:rPr>
        <w:t xml:space="preserve"> 由 </w:t>
      </w:r>
      <w:r>
        <w:rPr>
          <w:rFonts w:ascii="DejaVu Sans Mono" w:hAnsi="DejaVu Sans Mono"/>
          <w:b w:val="0"/>
          <w:i w:val="0"/>
          <w:sz w:val="17"/>
        </w:rPr>
        <w:t>fleet.locations</w:t>
      </w:r>
      <w:r>
        <w:rPr>
          <w:b w:val="0"/>
          <w:i w:val="0"/>
        </w:rPr>
        <w:t xml:space="preserve"> 提供，</w:t>
      </w:r>
      <w:r>
        <w:rPr>
          <w:rFonts w:ascii="DejaVu Sans Mono" w:hAnsi="DejaVu Sans Mono"/>
          <w:b w:val="0"/>
          <w:i w:val="0"/>
          <w:sz w:val="17"/>
        </w:rPr>
        <w:t>representative_sites</w:t>
      </w:r>
      <w:r>
        <w:rPr>
          <w:b w:val="0"/>
          <w:i w:val="0"/>
        </w:rPr>
        <w:t xml:space="preserve"> 将这些位置与 </w:t>
      </w:r>
      <w:r>
        <w:rPr>
          <w:rFonts w:ascii="DejaVu Sans Mono" w:hAnsi="DejaVu Sans Mono"/>
          <w:b w:val="0"/>
          <w:i w:val="0"/>
          <w:sz w:val="17"/>
        </w:rPr>
        <w:t>fleet.json</w:t>
      </w:r>
      <w:r>
        <w:rPr>
          <w:b w:val="0"/>
          <w:i w:val="0"/>
        </w:rPr>
        <w:t xml:space="preserve"> 的机组名称对应。</w:t>
      </w:r>
    </w:p>
    <w:p>
      <w:pPr>
        <w:pStyle w:val="Heading2"/>
      </w:pPr>
      <w:r>
        <w:rPr>
          <w:b w:val="0"/>
          <w:i w:val="0"/>
        </w:rPr>
        <w:t>逐时天气与半小时调度</w:t>
      </w:r>
    </w:p>
    <w:p>
      <w:pPr>
        <w:keepNext/>
      </w:pPr>
      <w:r>
        <w:rPr>
          <w:b w:val="0"/>
          <w:i w:val="0"/>
        </w:rPr>
        <w:t xml:space="preserve">天气值按时间戳的物理含义分配至调度时段。默认天气方法采用 </w:t>
      </w:r>
      <w:r>
        <w:rPr>
          <w:rFonts w:ascii="DejaVu Sans Mono" w:hAnsi="DejaVu Sans Mono"/>
          <w:b w:val="0"/>
          <w:i w:val="0"/>
          <w:sz w:val="17"/>
        </w:rPr>
        <w:t>clock="v2"</w:t>
      </w:r>
      <w:r>
        <w:rPr>
          <w:b w:val="0"/>
          <w:i w:val="0"/>
        </w:rPr>
        <w:t xml:space="preserve">，绑定中的 </w:t>
      </w:r>
      <w:r>
        <w:rPr>
          <w:rFonts w:ascii="DejaVu Sans Mono" w:hAnsi="DejaVu Sans Mono"/>
          <w:b w:val="0"/>
          <w:i w:val="0"/>
          <w:sz w:val="17"/>
        </w:rPr>
        <w:t>time_convention</w:t>
      </w:r>
      <w:r>
        <w:rPr>
          <w:b w:val="0"/>
          <w:i w:val="0"/>
        </w:rPr>
        <w:t xml:space="preserve"> 优先；其余情况下，</w:t>
      </w:r>
      <w:r>
        <w:rPr>
          <w:rFonts w:ascii="DejaVu Sans Mono" w:hAnsi="DejaVu Sans Mono"/>
          <w:b w:val="0"/>
          <w:i w:val="0"/>
          <w:sz w:val="17"/>
        </w:rPr>
        <w:t>GRIB_stepType="accum"</w:t>
      </w:r>
      <w:r>
        <w:rPr>
          <w:b w:val="0"/>
          <w:i w:val="0"/>
        </w:rPr>
        <w:t xml:space="preserve"> 表示截至该时间戳的逐时累计值，其他场采用瞬时约定。</w:t>
      </w:r>
      <w:r>
        <w:rPr>
          <w:rFonts w:ascii="DejaVu Sans Mono" w:hAnsi="DejaVu Sans Mono"/>
          <w:b w:val="0"/>
          <w:i w:val="0"/>
          <w:sz w:val="17"/>
        </w:rPr>
        <w:t>hour_index</w:t>
      </w:r>
      <w:r>
        <w:rPr>
          <w:b w:val="0"/>
          <w:i w:val="0"/>
        </w:rPr>
        <w:t xml:space="preserve"> 将从零开始的半小时编号 </w:t>
      </w:r>
      <w:r>
        <w:rPr>
          <w:rFonts w:ascii="DejaVu Sans Mono" w:hAnsi="DejaVu Sans Mono"/>
          <w:b w:val="0"/>
          <w:i w:val="0"/>
          <w:sz w:val="17"/>
        </w:rPr>
        <w:t>t</w:t>
      </w:r>
      <w:r>
        <w:rPr>
          <w:b w:val="0"/>
          <w:i w:val="0"/>
        </w:rPr>
        <w:t xml:space="preserve"> 映射为源索引 </w:t>
      </w:r>
      <w:r>
        <w:rPr>
          <w:rFonts w:ascii="DejaVu Sans Mono" w:hAnsi="DejaVu Sans Mono"/>
          <w:b w:val="0"/>
          <w:i w:val="0"/>
          <w:sz w:val="17"/>
        </w:rPr>
        <w:t>index</w:t>
      </w:r>
      <w:r>
        <w:rPr>
          <w:b w:val="0"/>
          <w:i w:val="0"/>
        </w:rPr>
        <w:t xml:space="preserve">，并在 </w:t>
      </w:r>
      <w:r>
        <w:rPr>
          <w:rFonts w:ascii="DejaVu Sans Mono" w:hAnsi="DejaVu Sans Mono"/>
          <w:b w:val="0"/>
          <w:i w:val="0"/>
          <w:sz w:val="17"/>
        </w:rPr>
        <w:t>hours</w:t>
      </w:r>
      <w:r>
        <w:rPr>
          <w:b w:val="0"/>
          <w:i w:val="0"/>
        </w:rPr>
        <w:t xml:space="preserve"> 个源值后循环：</w:t>
      </w:r>
    </w:p>
    <w:p>
      <w:pPr>
        <w:spacing w:after="160"/>
        <w:jc w:val="center"/>
      </w:pPr>
      <w:r>
        <w:drawing>
          <wp:inline xmlns:a="http://schemas.openxmlformats.org/drawingml/2006/main" xmlns:pic="http://schemas.openxmlformats.org/drawingml/2006/picture">
            <wp:extent cx="4947894" cy="413849"/>
            <wp:docPr id="13" name="Picture 13"/>
            <wp:cNvGraphicFramePr>
              <a:graphicFrameLocks noChangeAspect="1"/>
            </wp:cNvGraphicFramePr>
            <a:graphic>
              <a:graphicData uri="http://schemas.openxmlformats.org/drawingml/2006/picture">
                <pic:pic>
                  <pic:nvPicPr>
                    <pic:cNvPr id="0" name="eq-013.png"/>
                    <pic:cNvPicPr/>
                  </pic:nvPicPr>
                  <pic:blipFill>
                    <a:blip r:embed="rId23"/>
                    <a:stretch>
                      <a:fillRect/>
                    </a:stretch>
                  </pic:blipFill>
                  <pic:spPr>
                    <a:xfrm>
                      <a:off x="0" y="0"/>
                      <a:ext cx="4947894" cy="413849"/>
                    </a:xfrm>
                    <a:prstGeom prst="rect"/>
                  </pic:spPr>
                </pic:pic>
              </a:graphicData>
            </a:graphic>
          </wp:inline>
        </w:drawing>
      </w:r>
    </w:p>
    <w:p>
      <w:r>
        <w:rPr>
          <w:b w:val="0"/>
          <w:i w:val="0"/>
        </w:rPr>
        <w:t>截至 01:00 的小时累计量分配给从 00:00 和 00:30 开始的两个时段。瞬时规则将 00:00 样本分配给从 00:00 开始的时段，将 01:00 样本分配给从 00:30 和 01:00 开始的时段。太阳几何在每个接收时段的中点计算。</w:t>
      </w:r>
    </w:p>
    <w:p>
      <w:r>
        <w:rPr>
          <w:b w:val="0"/>
          <w:i w:val="0"/>
        </w:rPr>
        <w:t xml:space="preserve">R029 日历平均文件声明瞬时输入，因此采用索引公式第二行。受支持的 </w:t>
      </w:r>
      <w:r>
        <w:rPr>
          <w:rFonts w:ascii="DejaVu Sans Mono" w:hAnsi="DejaVu Sans Mono"/>
          <w:b w:val="0"/>
          <w:i w:val="0"/>
          <w:sz w:val="17"/>
        </w:rPr>
        <w:t>clock="v1"</w:t>
      </w:r>
      <w:r>
        <w:rPr>
          <w:b w:val="0"/>
          <w:i w:val="0"/>
        </w:rPr>
        <w:t xml:space="preserve"> 设置采用 </w:t>
      </w:r>
      <w:r>
        <w:rPr>
          <w:rFonts w:ascii="DejaVu Sans Mono" w:hAnsi="DejaVu Sans Mono"/>
          <w:b w:val="0"/>
          <w:i w:val="0"/>
          <w:sz w:val="17"/>
        </w:rPr>
        <w:t>index = (t // 2) % hours</w:t>
      </w:r>
      <w:r>
        <w:rPr>
          <w:b w:val="0"/>
          <w:i w:val="0"/>
        </w:rPr>
        <w:t>，每个源值用于连续两个半小时。这些索引规则作用于声明的源顺序，并包含从最后一小时至第一小时的循环。</w:t>
      </w:r>
    </w:p>
    <w:p>
      <w:pPr>
        <w:pStyle w:val="Heading2"/>
      </w:pPr>
      <w:r>
        <w:rPr>
          <w:b w:val="0"/>
          <w:i w:val="0"/>
        </w:rPr>
        <w:t>风电曲线与损耗</w:t>
      </w:r>
    </w:p>
    <w:p>
      <w:pPr>
        <w:keepNext/>
      </w:pPr>
      <w:r>
        <w:rPr>
          <w:b w:val="0"/>
          <w:i w:val="0"/>
        </w:rPr>
        <w:t>风电可用系数由 3 m/s 切入、立方增长、恒定额定出力和切出上限组成。</w:t>
      </w:r>
      <w:r>
        <w:rPr>
          <w:rFonts w:ascii="DejaVu Sans Mono" w:hAnsi="DejaVu Sans Mono"/>
          <w:b w:val="0"/>
          <w:i w:val="0"/>
          <w:sz w:val="17"/>
        </w:rPr>
        <w:t>hourly_unit_cf</w:t>
      </w:r>
      <w:r>
        <w:rPr>
          <w:b w:val="0"/>
          <w:i w:val="0"/>
        </w:rPr>
        <w:t xml:space="preserve"> 在输入提供 </w:t>
      </w:r>
      <w:r>
        <w:rPr>
          <w:rFonts w:ascii="DejaVu Sans Mono" w:hAnsi="DejaVu Sans Mono"/>
          <w:b w:val="0"/>
          <w:i w:val="0"/>
          <w:sz w:val="17"/>
        </w:rPr>
        <w:t>wind_speed</w:t>
      </w:r>
      <w:r>
        <w:rPr>
          <w:b w:val="0"/>
          <w:i w:val="0"/>
        </w:rPr>
        <w:t xml:space="preserve"> 时读取该变量，其余情况下由 </w:t>
      </w:r>
      <w:r>
        <w:rPr>
          <w:rFonts w:ascii="DejaVu Sans Mono" w:hAnsi="DejaVu Sans Mono"/>
          <w:b w:val="0"/>
          <w:i w:val="0"/>
          <w:sz w:val="17"/>
        </w:rPr>
        <w:t>u100</w:t>
      </w:r>
      <w:r>
        <w:rPr>
          <w:b w:val="0"/>
          <w:i w:val="0"/>
        </w:rPr>
        <w:t>、</w:t>
      </w:r>
      <w:r>
        <w:rPr>
          <w:rFonts w:ascii="DejaVu Sans Mono" w:hAnsi="DejaVu Sans Mono"/>
          <w:b w:val="0"/>
          <w:i w:val="0"/>
          <w:sz w:val="17"/>
        </w:rPr>
        <w:t>v100</w:t>
      </w:r>
      <w:r>
        <w:rPr>
          <w:b w:val="0"/>
          <w:i w:val="0"/>
        </w:rPr>
        <w:t xml:space="preserve"> 求矢量模。</w:t>
      </w:r>
      <w:r>
        <w:rPr>
          <w:rFonts w:ascii="DejaVu Sans Mono" w:hAnsi="DejaVu Sans Mono"/>
          <w:b w:val="0"/>
          <w:i w:val="0"/>
          <w:sz w:val="17"/>
        </w:rPr>
        <w:t>wind_unit_output</w:t>
      </w:r>
      <w:r>
        <w:rPr>
          <w:b w:val="0"/>
          <w:i w:val="0"/>
        </w:rPr>
        <w:t xml:space="preserve"> 采用 20 单位出力尺度，结果除以 20 后得到无量纲小时系数 </w:t>
      </w:r>
      <w:r>
        <w:rPr>
          <w:rFonts w:ascii="DejaVu Sans Mono" w:hAnsi="DejaVu Sans Mono"/>
          <w:b w:val="0"/>
          <w:i w:val="0"/>
          <w:sz w:val="17"/>
        </w:rPr>
        <w:t>hourly</w:t>
      </w:r>
      <w:r>
        <w:rPr>
          <w:b w:val="0"/>
          <w:i w:val="0"/>
        </w:rPr>
        <w:t xml:space="preserve">。风速 </w:t>
      </w:r>
      <w:r>
        <w:rPr>
          <w:rFonts w:ascii="DejaVu Sans Mono" w:hAnsi="DejaVu Sans Mono"/>
          <w:b w:val="0"/>
          <w:i w:val="0"/>
          <w:sz w:val="17"/>
        </w:rPr>
        <w:t>speed</w:t>
      </w:r>
      <w:r>
        <w:rPr>
          <w:b w:val="0"/>
          <w:i w:val="0"/>
        </w:rPr>
        <w:t xml:space="preserve">、额定风速 </w:t>
      </w:r>
      <w:r>
        <w:rPr>
          <w:rFonts w:ascii="DejaVu Sans Mono" w:hAnsi="DejaVu Sans Mono"/>
          <w:b w:val="0"/>
          <w:i w:val="0"/>
          <w:sz w:val="17"/>
        </w:rPr>
        <w:t>rated</w:t>
      </w:r>
      <w:r>
        <w:rPr>
          <w:b w:val="0"/>
          <w:i w:val="0"/>
        </w:rPr>
        <w:t xml:space="preserve">、切出风速 </w:t>
      </w:r>
      <w:r>
        <w:rPr>
          <w:rFonts w:ascii="DejaVu Sans Mono" w:hAnsi="DejaVu Sans Mono"/>
          <w:b w:val="0"/>
          <w:i w:val="0"/>
          <w:sz w:val="17"/>
        </w:rPr>
        <w:t>cut_out</w:t>
      </w:r>
      <w:r>
        <w:rPr>
          <w:b w:val="0"/>
          <w:i w:val="0"/>
        </w:rPr>
        <w:t xml:space="preserve"> 均以 m/s 表示：</w:t>
      </w:r>
    </w:p>
    <w:p>
      <w:pPr>
        <w:spacing w:after="160"/>
        <w:jc w:val="center"/>
      </w:pPr>
      <w:r>
        <w:drawing>
          <wp:inline xmlns:a="http://schemas.openxmlformats.org/drawingml/2006/main" xmlns:pic="http://schemas.openxmlformats.org/drawingml/2006/picture">
            <wp:extent cx="6170066" cy="820694"/>
            <wp:docPr id="14" name="Picture 14"/>
            <wp:cNvGraphicFramePr>
              <a:graphicFrameLocks noChangeAspect="1"/>
            </wp:cNvGraphicFramePr>
            <a:graphic>
              <a:graphicData uri="http://schemas.openxmlformats.org/drawingml/2006/picture">
                <pic:pic>
                  <pic:nvPicPr>
                    <pic:cNvPr id="0" name="eq-014.png"/>
                    <pic:cNvPicPr/>
                  </pic:nvPicPr>
                  <pic:blipFill>
                    <a:blip r:embed="rId24"/>
                    <a:stretch>
                      <a:fillRect/>
                    </a:stretch>
                  </pic:blipFill>
                  <pic:spPr>
                    <a:xfrm>
                      <a:off x="0" y="0"/>
                      <a:ext cx="6170066" cy="820694"/>
                    </a:xfrm>
                    <a:prstGeom prst="rect"/>
                  </pic:spPr>
                </pic:pic>
              </a:graphicData>
            </a:graphic>
          </wp:inline>
        </w:drawing>
      </w:r>
    </w:p>
    <w:p>
      <w:r>
        <w:rPr>
          <w:b w:val="0"/>
          <w:i w:val="0"/>
        </w:rPr>
        <w:t xml:space="preserve">陆风采用 </w:t>
      </w:r>
      <w:r>
        <w:rPr>
          <w:rFonts w:ascii="DejaVu Sans Mono" w:hAnsi="DejaVu Sans Mono"/>
          <w:b w:val="0"/>
          <w:i w:val="0"/>
          <w:sz w:val="17"/>
        </w:rPr>
        <w:t>rated=9.7</w:t>
      </w:r>
      <w:r>
        <w:rPr>
          <w:b w:val="0"/>
          <w:i w:val="0"/>
        </w:rPr>
        <w:t>、</w:t>
      </w:r>
      <w:r>
        <w:rPr>
          <w:rFonts w:ascii="DejaVu Sans Mono" w:hAnsi="DejaVu Sans Mono"/>
          <w:b w:val="0"/>
          <w:i w:val="0"/>
          <w:sz w:val="17"/>
        </w:rPr>
        <w:t>cut_out=25</w:t>
      </w:r>
      <w:r>
        <w:rPr>
          <w:b w:val="0"/>
          <w:i w:val="0"/>
        </w:rPr>
        <w:t xml:space="preserve">，海风采用 </w:t>
      </w:r>
      <w:r>
        <w:rPr>
          <w:rFonts w:ascii="DejaVu Sans Mono" w:hAnsi="DejaVu Sans Mono"/>
          <w:b w:val="0"/>
          <w:i w:val="0"/>
          <w:sz w:val="17"/>
        </w:rPr>
        <w:t>rated=10.5</w:t>
      </w:r>
      <w:r>
        <w:rPr>
          <w:b w:val="0"/>
          <w:i w:val="0"/>
        </w:rPr>
        <w:t>、</w:t>
      </w:r>
      <w:r>
        <w:rPr>
          <w:rFonts w:ascii="DejaVu Sans Mono" w:hAnsi="DejaVu Sans Mono"/>
          <w:b w:val="0"/>
          <w:i w:val="0"/>
          <w:sz w:val="17"/>
        </w:rPr>
        <w:t>cut_out=30</w:t>
      </w:r>
      <w:r>
        <w:rPr>
          <w:b w:val="0"/>
          <w:i w:val="0"/>
        </w:rPr>
        <w:t xml:space="preserve">。恰好达到切出风速时维持额定出力，高于该值时出力为零。立方增长段先限定在 0–20，再转换为 </w:t>
      </w:r>
      <w:r>
        <w:rPr>
          <w:rFonts w:ascii="DejaVu Sans Mono" w:hAnsi="DejaVu Sans Mono"/>
          <w:b w:val="0"/>
          <w:i w:val="0"/>
          <w:sz w:val="17"/>
        </w:rPr>
        <w:t>hourly</w:t>
      </w:r>
      <w:r>
        <w:rPr>
          <w:b w:val="0"/>
          <w:i w:val="0"/>
        </w:rPr>
        <w:t>。</w:t>
      </w:r>
    </w:p>
    <w:p>
      <w:r>
        <w:rPr>
          <w:b w:val="0"/>
          <w:i w:val="0"/>
        </w:rPr>
        <w:t xml:space="preserve">送出风电系数由已分配的 </w:t>
      </w:r>
      <w:r>
        <w:rPr>
          <w:rFonts w:ascii="DejaVu Sans Mono" w:hAnsi="DejaVu Sans Mono"/>
          <w:b w:val="0"/>
          <w:i w:val="0"/>
          <w:sz w:val="17"/>
        </w:rPr>
        <w:t>hourly[index]</w:t>
      </w:r>
      <w:r>
        <w:rPr>
          <w:b w:val="0"/>
          <w:i w:val="0"/>
        </w:rPr>
        <w:t xml:space="preserve"> 乘以尾流、能量可用率和电气系数的乘积得到。默认 </w:t>
      </w:r>
      <w:r>
        <w:rPr>
          <w:rFonts w:ascii="DejaVu Sans Mono" w:hAnsi="DejaVu Sans Mono"/>
          <w:b w:val="0"/>
          <w:i w:val="0"/>
          <w:sz w:val="17"/>
        </w:rPr>
        <w:t>loss_factors=true</w:t>
      </w:r>
      <w:r>
        <w:rPr>
          <w:b w:val="0"/>
          <w:i w:val="0"/>
        </w:rPr>
        <w:t xml:space="preserve"> 时，</w:t>
      </w:r>
      <w:r>
        <w:rPr>
          <w:rFonts w:ascii="DejaVu Sans Mono" w:hAnsi="DejaVu Sans Mono"/>
          <w:b w:val="0"/>
          <w:i w:val="0"/>
          <w:sz w:val="17"/>
        </w:rPr>
        <w:t>method.multiplier(technology)</w:t>
      </w:r>
      <w:r>
        <w:rPr>
          <w:b w:val="0"/>
          <w:i w:val="0"/>
        </w:rPr>
        <w:t xml:space="preserve"> 从 </w:t>
      </w:r>
      <w:r>
        <w:rPr>
          <w:rFonts w:ascii="DejaVu Sans Mono" w:hAnsi="DejaVu Sans Mono"/>
          <w:b w:val="0"/>
          <w:i w:val="0"/>
          <w:sz w:val="17"/>
        </w:rPr>
        <w:t>value_​uk_​vre_​loss_​factors_​v1.json</w:t>
      </w:r>
      <w:r>
        <w:rPr>
          <w:b w:val="0"/>
          <w:i w:val="0"/>
        </w:rPr>
        <w:t xml:space="preserve"> 读取下列数值：</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21"/>
        <w:gridCol w:w="1821"/>
        <w:gridCol w:w="2267"/>
        <w:gridCol w:w="1821"/>
        <w:gridCol w:w="2061"/>
      </w:tblGrid>
      <w:tr>
        <w:trPr>
          <w:cantSplit/>
          <w:tblHeader w:val="true"/>
        </w:trPr>
        <w:tc>
          <w:tcPr>
            <w:tcW w:type="dxa" w:w="1821"/>
            <w:vAlign w:val="center"/>
            <w:tcMar>
              <w:top w:w="90" w:type="dxa"/>
              <w:left w:w="90" w:type="dxa"/>
              <w:bottom w:w="90" w:type="dxa"/>
              <w:right w:w="90" w:type="dxa"/>
            </w:tcMar>
            <w:shd w:fill="EEEEEE"/>
          </w:tcPr>
          <w:p>
            <w:pPr>
              <w:spacing w:after="40" w:line="276" w:lineRule="auto"/>
            </w:pPr>
            <w:r>
              <w:rPr>
                <w:b/>
                <w:i w:val="0"/>
                <w:sz w:val="18"/>
              </w:rPr>
              <w:t>技术</w:t>
            </w:r>
          </w:p>
        </w:tc>
        <w:tc>
          <w:tcPr>
            <w:tcW w:type="dxa" w:w="1821"/>
            <w:vAlign w:val="center"/>
            <w:tcMar>
              <w:top w:w="90" w:type="dxa"/>
              <w:left w:w="90" w:type="dxa"/>
              <w:bottom w:w="90" w:type="dxa"/>
              <w:right w:w="90" w:type="dxa"/>
            </w:tcMar>
            <w:shd w:fill="EEEEEE"/>
          </w:tcPr>
          <w:p>
            <w:pPr>
              <w:spacing w:after="40" w:line="276" w:lineRule="auto"/>
            </w:pPr>
            <w:r>
              <w:rPr>
                <w:b/>
                <w:i w:val="0"/>
                <w:sz w:val="18"/>
              </w:rPr>
              <w:t>尾流系数</w:t>
            </w:r>
          </w:p>
        </w:tc>
        <w:tc>
          <w:tcPr>
            <w:tcW w:type="dxa" w:w="2267"/>
            <w:vAlign w:val="center"/>
            <w:tcMar>
              <w:top w:w="90" w:type="dxa"/>
              <w:left w:w="90" w:type="dxa"/>
              <w:bottom w:w="90" w:type="dxa"/>
              <w:right w:w="90" w:type="dxa"/>
            </w:tcMar>
            <w:shd w:fill="EEEEEE"/>
          </w:tcPr>
          <w:p>
            <w:pPr>
              <w:spacing w:after="40" w:line="276" w:lineRule="auto"/>
            </w:pPr>
            <w:r>
              <w:rPr>
                <w:b/>
                <w:i w:val="0"/>
                <w:sz w:val="18"/>
              </w:rPr>
              <w:t>能量可用率系数</w:t>
            </w:r>
          </w:p>
        </w:tc>
        <w:tc>
          <w:tcPr>
            <w:tcW w:type="dxa" w:w="1821"/>
            <w:vAlign w:val="center"/>
            <w:tcMar>
              <w:top w:w="90" w:type="dxa"/>
              <w:left w:w="90" w:type="dxa"/>
              <w:bottom w:w="90" w:type="dxa"/>
              <w:right w:w="90" w:type="dxa"/>
            </w:tcMar>
            <w:shd w:fill="EEEEEE"/>
          </w:tcPr>
          <w:p>
            <w:pPr>
              <w:spacing w:after="40" w:line="276" w:lineRule="auto"/>
            </w:pPr>
            <w:r>
              <w:rPr>
                <w:b/>
                <w:i w:val="0"/>
                <w:sz w:val="18"/>
              </w:rPr>
              <w:t>电气系数</w:t>
            </w:r>
          </w:p>
        </w:tc>
        <w:tc>
          <w:tcPr>
            <w:tcW w:type="dxa" w:w="2061"/>
            <w:vAlign w:val="center"/>
            <w:tcMar>
              <w:top w:w="90" w:type="dxa"/>
              <w:left w:w="90" w:type="dxa"/>
              <w:bottom w:w="90" w:type="dxa"/>
              <w:right w:w="90" w:type="dxa"/>
            </w:tcMar>
            <w:shd w:fill="EEEEEE"/>
          </w:tcPr>
          <w:p>
            <w:pPr>
              <w:spacing w:after="40" w:line="276" w:lineRule="auto"/>
            </w:pPr>
            <w:r>
              <w:rPr>
                <w:rFonts w:ascii="DejaVu Sans Mono" w:hAnsi="DejaVu Sans Mono"/>
                <w:b/>
                <w:i w:val="0"/>
                <w:sz w:val="18"/>
              </w:rPr>
              <w:t>multiplier</w:t>
            </w:r>
          </w:p>
        </w:tc>
      </w:tr>
      <w:tr>
        <w:trPr>
          <w:cantSplit/>
        </w:trPr>
        <w:tc>
          <w:tcPr>
            <w:tcW w:type="dxa" w:w="1821"/>
            <w:vAlign w:val="center"/>
            <w:tcMar>
              <w:top w:w="90" w:type="dxa"/>
              <w:left w:w="90" w:type="dxa"/>
              <w:bottom w:w="90" w:type="dxa"/>
              <w:right w:w="90" w:type="dxa"/>
            </w:tcMar>
          </w:tcPr>
          <w:p>
            <w:pPr>
              <w:spacing w:after="40" w:line="276" w:lineRule="auto"/>
            </w:pPr>
            <w:r>
              <w:rPr>
                <w:b w:val="0"/>
                <w:i w:val="0"/>
                <w:sz w:val="18"/>
              </w:rPr>
              <w:t>陆上风电</w:t>
            </w:r>
          </w:p>
        </w:tc>
        <w:tc>
          <w:tcPr>
            <w:tcW w:type="dxa" w:w="1821"/>
            <w:vAlign w:val="center"/>
            <w:tcMar>
              <w:top w:w="90" w:type="dxa"/>
              <w:left w:w="90" w:type="dxa"/>
              <w:bottom w:w="90" w:type="dxa"/>
              <w:right w:w="90" w:type="dxa"/>
            </w:tcMar>
          </w:tcPr>
          <w:p>
            <w:pPr>
              <w:spacing w:after="40" w:line="276" w:lineRule="auto"/>
            </w:pPr>
            <w:r>
              <w:rPr>
                <w:b w:val="0"/>
                <w:i w:val="0"/>
                <w:sz w:val="18"/>
              </w:rPr>
              <w:t>0.95</w:t>
            </w:r>
          </w:p>
        </w:tc>
        <w:tc>
          <w:tcPr>
            <w:tcW w:type="dxa" w:w="2267"/>
            <w:vAlign w:val="center"/>
            <w:tcMar>
              <w:top w:w="90" w:type="dxa"/>
              <w:left w:w="90" w:type="dxa"/>
              <w:bottom w:w="90" w:type="dxa"/>
              <w:right w:w="90" w:type="dxa"/>
            </w:tcMar>
          </w:tcPr>
          <w:p>
            <w:pPr>
              <w:spacing w:after="40" w:line="276" w:lineRule="auto"/>
            </w:pPr>
            <w:r>
              <w:rPr>
                <w:b w:val="0"/>
                <w:i w:val="0"/>
                <w:sz w:val="18"/>
              </w:rPr>
              <w:t>0.97</w:t>
            </w:r>
          </w:p>
        </w:tc>
        <w:tc>
          <w:tcPr>
            <w:tcW w:type="dxa" w:w="1821"/>
            <w:vAlign w:val="center"/>
            <w:tcMar>
              <w:top w:w="90" w:type="dxa"/>
              <w:left w:w="90" w:type="dxa"/>
              <w:bottom w:w="90" w:type="dxa"/>
              <w:right w:w="90" w:type="dxa"/>
            </w:tcMar>
          </w:tcPr>
          <w:p>
            <w:pPr>
              <w:spacing w:after="40" w:line="276" w:lineRule="auto"/>
            </w:pPr>
            <w:r>
              <w:rPr>
                <w:b w:val="0"/>
                <w:i w:val="0"/>
                <w:sz w:val="18"/>
              </w:rPr>
              <w:t>0.98</w:t>
            </w:r>
          </w:p>
        </w:tc>
        <w:tc>
          <w:tcPr>
            <w:tcW w:type="dxa" w:w="2061"/>
            <w:vAlign w:val="center"/>
            <w:tcMar>
              <w:top w:w="90" w:type="dxa"/>
              <w:left w:w="90" w:type="dxa"/>
              <w:bottom w:w="90" w:type="dxa"/>
              <w:right w:w="90" w:type="dxa"/>
            </w:tcMar>
          </w:tcPr>
          <w:p>
            <w:pPr>
              <w:spacing w:after="40" w:line="276" w:lineRule="auto"/>
            </w:pPr>
            <w:r>
              <w:rPr>
                <w:b w:val="0"/>
                <w:i w:val="0"/>
                <w:sz w:val="18"/>
              </w:rPr>
              <w:t>0.90307</w:t>
            </w:r>
          </w:p>
        </w:tc>
      </w:tr>
      <w:tr>
        <w:trPr>
          <w:cantSplit/>
        </w:trPr>
        <w:tc>
          <w:tcPr>
            <w:tcW w:type="dxa" w:w="1821"/>
            <w:vAlign w:val="center"/>
            <w:tcMar>
              <w:top w:w="90" w:type="dxa"/>
              <w:left w:w="90" w:type="dxa"/>
              <w:bottom w:w="90" w:type="dxa"/>
              <w:right w:w="90" w:type="dxa"/>
            </w:tcMar>
          </w:tcPr>
          <w:p>
            <w:pPr>
              <w:spacing w:after="40" w:line="276" w:lineRule="auto"/>
            </w:pPr>
            <w:r>
              <w:rPr>
                <w:b w:val="0"/>
                <w:i w:val="0"/>
                <w:sz w:val="18"/>
              </w:rPr>
              <w:t>海上风电</w:t>
            </w:r>
          </w:p>
        </w:tc>
        <w:tc>
          <w:tcPr>
            <w:tcW w:type="dxa" w:w="1821"/>
            <w:vAlign w:val="center"/>
            <w:tcMar>
              <w:top w:w="90" w:type="dxa"/>
              <w:left w:w="90" w:type="dxa"/>
              <w:bottom w:w="90" w:type="dxa"/>
              <w:right w:w="90" w:type="dxa"/>
            </w:tcMar>
          </w:tcPr>
          <w:p>
            <w:pPr>
              <w:spacing w:after="40" w:line="276" w:lineRule="auto"/>
            </w:pPr>
            <w:r>
              <w:rPr>
                <w:b w:val="0"/>
                <w:i w:val="0"/>
                <w:sz w:val="18"/>
              </w:rPr>
              <w:t>0.88</w:t>
            </w:r>
          </w:p>
        </w:tc>
        <w:tc>
          <w:tcPr>
            <w:tcW w:type="dxa" w:w="2267"/>
            <w:vAlign w:val="center"/>
            <w:tcMar>
              <w:top w:w="90" w:type="dxa"/>
              <w:left w:w="90" w:type="dxa"/>
              <w:bottom w:w="90" w:type="dxa"/>
              <w:right w:w="90" w:type="dxa"/>
            </w:tcMar>
          </w:tcPr>
          <w:p>
            <w:pPr>
              <w:spacing w:after="40" w:line="276" w:lineRule="auto"/>
            </w:pPr>
            <w:r>
              <w:rPr>
                <w:b w:val="0"/>
                <w:i w:val="0"/>
                <w:sz w:val="18"/>
              </w:rPr>
              <w:t>0.945</w:t>
            </w:r>
          </w:p>
        </w:tc>
        <w:tc>
          <w:tcPr>
            <w:tcW w:type="dxa" w:w="1821"/>
            <w:vAlign w:val="center"/>
            <w:tcMar>
              <w:top w:w="90" w:type="dxa"/>
              <w:left w:w="90" w:type="dxa"/>
              <w:bottom w:w="90" w:type="dxa"/>
              <w:right w:w="90" w:type="dxa"/>
            </w:tcMar>
          </w:tcPr>
          <w:p>
            <w:pPr>
              <w:spacing w:after="40" w:line="276" w:lineRule="auto"/>
            </w:pPr>
            <w:r>
              <w:rPr>
                <w:b w:val="0"/>
                <w:i w:val="0"/>
                <w:sz w:val="18"/>
              </w:rPr>
              <w:t>0.98</w:t>
            </w:r>
          </w:p>
        </w:tc>
        <w:tc>
          <w:tcPr>
            <w:tcW w:type="dxa" w:w="2061"/>
            <w:vAlign w:val="center"/>
            <w:tcMar>
              <w:top w:w="90" w:type="dxa"/>
              <w:left w:w="90" w:type="dxa"/>
              <w:bottom w:w="90" w:type="dxa"/>
              <w:right w:w="90" w:type="dxa"/>
            </w:tcMar>
          </w:tcPr>
          <w:p>
            <w:pPr>
              <w:spacing w:after="40" w:line="276" w:lineRule="auto"/>
            </w:pPr>
            <w:r>
              <w:rPr>
                <w:b w:val="0"/>
                <w:i w:val="0"/>
                <w:sz w:val="18"/>
              </w:rPr>
              <w:t>0.814968</w:t>
            </w:r>
          </w:p>
        </w:tc>
      </w:tr>
    </w:tbl>
    <w:p>
      <w:pPr>
        <w:spacing w:after="20"/>
      </w:pPr>
    </w:p>
    <w:p>
      <w:r>
        <w:rPr>
          <w:b w:val="0"/>
          <w:i w:val="0"/>
        </w:rPr>
        <w:t xml:space="preserve">风速为 8 m/s 时，陆风曲线给出 0.5476061707，乘以 0.90307 得约 0.49453，对应 100 MW 装机的可用功率约为 49.453 MW。受支持的 </w:t>
      </w:r>
      <w:r>
        <w:rPr>
          <w:rFonts w:ascii="DejaVu Sans Mono" w:hAnsi="DejaVu Sans Mono"/>
          <w:b w:val="0"/>
          <w:i w:val="0"/>
          <w:sz w:val="17"/>
        </w:rPr>
        <w:t>loss_factors=false</w:t>
      </w:r>
      <w:r>
        <w:rPr>
          <w:b w:val="0"/>
          <w:i w:val="0"/>
        </w:rPr>
        <w:t xml:space="preserve"> 设置取 </w:t>
      </w:r>
      <w:r>
        <w:rPr>
          <w:rFonts w:ascii="DejaVu Sans Mono" w:hAnsi="DejaVu Sans Mono"/>
          <w:b w:val="0"/>
          <w:i w:val="0"/>
          <w:sz w:val="17"/>
        </w:rPr>
        <w:t>multiplier=1.0</w:t>
      </w:r>
      <w:r>
        <w:rPr>
          <w:b w:val="0"/>
          <w:i w:val="0"/>
        </w:rPr>
        <w:t>，直接使用曲线出力。</w:t>
      </w:r>
    </w:p>
    <w:p>
      <w:pPr>
        <w:pStyle w:val="Heading2"/>
      </w:pPr>
      <w:r>
        <w:rPr>
          <w:b w:val="0"/>
          <w:i w:val="0"/>
        </w:rPr>
        <w:t>水平辐射与光伏转换</w:t>
      </w:r>
    </w:p>
    <w:p>
      <w:pPr>
        <w:keepNext/>
      </w:pPr>
      <w:r>
        <w:rPr>
          <w:b w:val="0"/>
          <w:i w:val="0"/>
        </w:rPr>
        <w:t>光伏计算先将源小时辐射量表示为辐照度。</w:t>
      </w:r>
      <w:r>
        <w:rPr>
          <w:rFonts w:ascii="DejaVu Sans Mono" w:hAnsi="DejaVu Sans Mono"/>
          <w:b w:val="0"/>
          <w:i w:val="0"/>
          <w:sz w:val="17"/>
        </w:rPr>
        <w:t>hourly_unit_cf</w:t>
      </w:r>
      <w:r>
        <w:rPr>
          <w:b w:val="0"/>
          <w:i w:val="0"/>
        </w:rPr>
        <w:t xml:space="preserve"> 将 </w:t>
      </w:r>
      <w:r>
        <w:rPr>
          <w:rFonts w:ascii="DejaVu Sans Mono" w:hAnsi="DejaVu Sans Mono"/>
          <w:b w:val="0"/>
          <w:i w:val="0"/>
          <w:sz w:val="17"/>
        </w:rPr>
        <w:t>ssrd</w:t>
      </w:r>
      <w:r>
        <w:rPr>
          <w:b w:val="0"/>
          <w:i w:val="0"/>
        </w:rPr>
        <w:t xml:space="preserve"> 读为 J/m² 的 </w:t>
      </w:r>
      <w:r>
        <w:rPr>
          <w:rFonts w:ascii="DejaVu Sans Mono" w:hAnsi="DejaVu Sans Mono"/>
          <w:b w:val="0"/>
          <w:i w:val="0"/>
          <w:sz w:val="17"/>
        </w:rPr>
        <w:t>raw</w:t>
      </w:r>
      <w:r>
        <w:rPr>
          <w:b w:val="0"/>
          <w:i w:val="0"/>
        </w:rPr>
        <w:t xml:space="preserve">，返回 kW/m² 的 </w:t>
      </w:r>
      <w:r>
        <w:rPr>
          <w:rFonts w:ascii="DejaVu Sans Mono" w:hAnsi="DejaVu Sans Mono"/>
          <w:b w:val="0"/>
          <w:i w:val="0"/>
          <w:sz w:val="17"/>
        </w:rPr>
        <w:t>hourly</w:t>
      </w:r>
      <w:r>
        <w:rPr>
          <w:b w:val="0"/>
          <w:i w:val="0"/>
        </w:rPr>
        <w:t>，输入筛选和单位换算为</w:t>
      </w:r>
    </w:p>
    <w:p>
      <w:pPr>
        <w:spacing w:after="160"/>
        <w:jc w:val="center"/>
      </w:pPr>
      <w:r>
        <w:drawing>
          <wp:inline xmlns:a="http://schemas.openxmlformats.org/drawingml/2006/main" xmlns:pic="http://schemas.openxmlformats.org/drawingml/2006/picture">
            <wp:extent cx="4136974" cy="413697"/>
            <wp:docPr id="15" name="Picture 15"/>
            <wp:cNvGraphicFramePr>
              <a:graphicFrameLocks noChangeAspect="1"/>
            </wp:cNvGraphicFramePr>
            <a:graphic>
              <a:graphicData uri="http://schemas.openxmlformats.org/drawingml/2006/picture">
                <pic:pic>
                  <pic:nvPicPr>
                    <pic:cNvPr id="0" name="eq-015.png"/>
                    <pic:cNvPicPr/>
                  </pic:nvPicPr>
                  <pic:blipFill>
                    <a:blip r:embed="rId25"/>
                    <a:stretch>
                      <a:fillRect/>
                    </a:stretch>
                  </pic:blipFill>
                  <pic:spPr>
                    <a:xfrm>
                      <a:off x="0" y="0"/>
                      <a:ext cx="4136974" cy="413697"/>
                    </a:xfrm>
                    <a:prstGeom prst="rect"/>
                  </pic:spPr>
                </pic:pic>
              </a:graphicData>
            </a:graphic>
          </wp:inline>
        </w:drawing>
      </w:r>
    </w:p>
    <w:p>
      <w:r>
        <w:rPr>
          <w:b w:val="0"/>
          <w:i w:val="0"/>
        </w:rPr>
        <w:t xml:space="preserve">默认光伏方法采用 </w:t>
      </w:r>
      <w:r>
        <w:rPr>
          <w:rFonts w:ascii="DejaVu Sans Mono" w:hAnsi="DejaVu Sans Mono"/>
          <w:b w:val="0"/>
          <w:i w:val="0"/>
          <w:sz w:val="17"/>
        </w:rPr>
        <w:t>plane_of_array=true</w:t>
      </w:r>
      <w:r>
        <w:rPr>
          <w:b w:val="0"/>
          <w:i w:val="0"/>
        </w:rPr>
        <w:t xml:space="preserve"> 和 0.83 的性能比。</w:t>
      </w:r>
      <w:r>
        <w:rPr>
          <w:rFonts w:ascii="DejaVu Sans Mono" w:hAnsi="DejaVu Sans Mono"/>
          <w:b w:val="0"/>
          <w:i w:val="0"/>
          <w:sz w:val="17"/>
        </w:rPr>
        <w:t>clock="v2"</w:t>
      </w:r>
      <w:r>
        <w:rPr>
          <w:b w:val="0"/>
          <w:i w:val="0"/>
        </w:rPr>
        <w:t xml:space="preserve"> 且 </w:t>
      </w:r>
      <w:r>
        <w:rPr>
          <w:rFonts w:ascii="DejaVu Sans Mono" w:hAnsi="DejaVu Sans Mono"/>
          <w:b w:val="0"/>
          <w:i w:val="0"/>
          <w:sz w:val="17"/>
        </w:rPr>
        <w:t>time_​convention="accumulation_end_of_hour"</w:t>
      </w:r>
      <w:r>
        <w:rPr>
          <w:b w:val="0"/>
          <w:i w:val="0"/>
        </w:rPr>
        <w:t xml:space="preserve"> 时，在每个半小时中点将水平辐照度转换到朝南倾斜平面。R029 和 VALUE 101 等瞬时来源将水平辐照度直接乘以 0.83；</w:t>
      </w:r>
      <w:r>
        <w:rPr>
          <w:rFonts w:ascii="DejaVu Sans Mono" w:hAnsi="DejaVu Sans Mono"/>
          <w:b w:val="0"/>
          <w:i w:val="0"/>
          <w:sz w:val="17"/>
        </w:rPr>
        <w:t>plane_of_array=false</w:t>
      </w:r>
      <w:r>
        <w:rPr>
          <w:b w:val="0"/>
          <w:i w:val="0"/>
        </w:rPr>
        <w:t xml:space="preserve"> 时，全部来源采用这一水平计算。</w:t>
      </w:r>
      <w:r>
        <w:rPr>
          <w:rFonts w:ascii="DejaVu Sans Mono" w:hAnsi="DejaVu Sans Mono"/>
          <w:b w:val="0"/>
          <w:i w:val="0"/>
          <w:sz w:val="17"/>
        </w:rPr>
        <w:t>loss_factors=false</w:t>
      </w:r>
      <w:r>
        <w:rPr>
          <w:b w:val="0"/>
          <w:i w:val="0"/>
        </w:rPr>
        <w:t xml:space="preserve"> 将性能比设为 1.0。</w:t>
      </w:r>
    </w:p>
    <w:p>
      <w:pPr>
        <w:keepNext/>
      </w:pPr>
      <w:r>
        <w:rPr>
          <w:b w:val="0"/>
          <w:i w:val="0"/>
        </w:rPr>
        <w:t xml:space="preserve">阵列倾角由站点纬度确定。默认 </w:t>
      </w:r>
      <w:r>
        <w:rPr>
          <w:rFonts w:ascii="DejaVu Sans Mono" w:hAnsi="DejaVu Sans Mono"/>
          <w:b w:val="0"/>
          <w:i w:val="0"/>
          <w:sz w:val="17"/>
        </w:rPr>
        <w:t>tilt_​rule="jacobson-jadhav-2018"</w:t>
      </w:r>
      <w:r>
        <w:rPr>
          <w:b w:val="0"/>
          <w:i w:val="0"/>
        </w:rPr>
        <w:t xml:space="preserve"> 采用 </w:t>
      </w:r>
      <w:r>
        <w:rPr>
          <w:b w:val="0"/>
          <w:i w:val="0"/>
        </w:rPr>
        <w:t>Jacobson 和 Jadhav（2018），Solar Energy 169，55–66</w:t>
      </w:r>
      <w:r>
        <w:rPr>
          <w:b w:val="0"/>
          <w:i w:val="0"/>
        </w:rPr>
        <w:t xml:space="preserve"> 的 0°–65°N 多项式。在 </w:t>
      </w:r>
      <w:r>
        <w:rPr>
          <w:rFonts w:ascii="DejaVu Sans Mono" w:hAnsi="DejaVu Sans Mono"/>
          <w:b w:val="0"/>
          <w:i w:val="0"/>
          <w:sz w:val="17"/>
        </w:rPr>
        <w:t>optimal_​tilt_​jacobson_​jadhav</w:t>
      </w:r>
      <w:r>
        <w:rPr>
          <w:b w:val="0"/>
          <w:i w:val="0"/>
        </w:rPr>
        <w:t xml:space="preserve"> 中，</w:t>
      </w:r>
      <w:r>
        <w:rPr>
          <w:rFonts w:ascii="DejaVu Sans Mono" w:hAnsi="DejaVu Sans Mono"/>
          <w:b w:val="0"/>
          <w:i w:val="0"/>
          <w:sz w:val="17"/>
        </w:rPr>
        <w:t>phi</w:t>
      </w:r>
      <w:r>
        <w:rPr>
          <w:b w:val="0"/>
          <w:i w:val="0"/>
        </w:rPr>
        <w:t xml:space="preserve"> 为北纬度数，函数返回的度数在 </w:t>
      </w:r>
      <w:r>
        <w:rPr>
          <w:rFonts w:ascii="DejaVu Sans Mono" w:hAnsi="DejaVu Sans Mono"/>
          <w:b w:val="0"/>
          <w:i w:val="0"/>
          <w:sz w:val="17"/>
        </w:rPr>
        <w:t>plane_of_array</w:t>
      </w:r>
      <w:r>
        <w:rPr>
          <w:b w:val="0"/>
          <w:i w:val="0"/>
        </w:rPr>
        <w:t xml:space="preserve"> 中记为 </w:t>
      </w:r>
      <w:r>
        <w:rPr>
          <w:rFonts w:ascii="DejaVu Sans Mono" w:hAnsi="DejaVu Sans Mono"/>
          <w:b w:val="0"/>
          <w:i w:val="0"/>
          <w:sz w:val="17"/>
        </w:rPr>
        <w:t>tilt</w:t>
      </w:r>
      <w:r>
        <w:rPr>
          <w:b w:val="0"/>
          <w:i w:val="0"/>
        </w:rPr>
        <w:t>：</w:t>
      </w:r>
    </w:p>
    <w:p>
      <w:pPr>
        <w:spacing w:after="160"/>
        <w:jc w:val="center"/>
      </w:pPr>
      <w:r>
        <w:drawing>
          <wp:inline xmlns:a="http://schemas.openxmlformats.org/drawingml/2006/main" xmlns:pic="http://schemas.openxmlformats.org/drawingml/2006/picture">
            <wp:extent cx="5439308" cy="205775"/>
            <wp:docPr id="16" name="Picture 16"/>
            <wp:cNvGraphicFramePr>
              <a:graphicFrameLocks noChangeAspect="1"/>
            </wp:cNvGraphicFramePr>
            <a:graphic>
              <a:graphicData uri="http://schemas.openxmlformats.org/drawingml/2006/picture">
                <pic:pic>
                  <pic:nvPicPr>
                    <pic:cNvPr id="0" name="eq-016.png"/>
                    <pic:cNvPicPr/>
                  </pic:nvPicPr>
                  <pic:blipFill>
                    <a:blip r:embed="rId26"/>
                    <a:stretch>
                      <a:fillRect/>
                    </a:stretch>
                  </pic:blipFill>
                  <pic:spPr>
                    <a:xfrm>
                      <a:off x="0" y="0"/>
                      <a:ext cx="5439308" cy="205775"/>
                    </a:xfrm>
                    <a:prstGeom prst="rect"/>
                  </pic:spPr>
                </pic:pic>
              </a:graphicData>
            </a:graphic>
          </wp:inline>
        </w:drawing>
      </w:r>
    </w:p>
    <w:p>
      <w:r>
        <w:rPr>
          <w:b w:val="0"/>
          <w:i w:val="0"/>
        </w:rPr>
        <w:t xml:space="preserve">倾角参数还支持 </w:t>
      </w:r>
      <w:r>
        <w:rPr>
          <w:rFonts w:ascii="DejaVu Sans Mono" w:hAnsi="DejaVu Sans Mono"/>
          <w:b w:val="0"/>
          <w:i w:val="0"/>
          <w:sz w:val="17"/>
        </w:rPr>
        <w:t>tilt_​rule="site_latitude"</w:t>
      </w:r>
      <w:r>
        <w:rPr>
          <w:b w:val="0"/>
          <w:i w:val="0"/>
        </w:rPr>
        <w:t xml:space="preserve">，取纬度绝对值，以及 </w:t>
      </w:r>
      <w:r>
        <w:rPr>
          <w:rFonts w:ascii="DejaVu Sans Mono" w:hAnsi="DejaVu Sans Mono"/>
          <w:b w:val="0"/>
          <w:i w:val="0"/>
          <w:sz w:val="17"/>
        </w:rPr>
        <w:t>tilt_rule="fixed"</w:t>
      </w:r>
      <w:r>
        <w:rPr>
          <w:b w:val="0"/>
          <w:i w:val="0"/>
        </w:rPr>
        <w:t xml:space="preserve">，取 [0,90] 度内的 </w:t>
      </w:r>
      <w:r>
        <w:rPr>
          <w:rFonts w:ascii="DejaVu Sans Mono" w:hAnsi="DejaVu Sans Mono"/>
          <w:b w:val="0"/>
          <w:i w:val="0"/>
          <w:sz w:val="17"/>
        </w:rPr>
        <w:t>fixed_tilt_deg</w:t>
      </w:r>
      <w:r>
        <w:rPr>
          <w:b w:val="0"/>
          <w:i w:val="0"/>
        </w:rPr>
        <w:t>。三种规则均采用朝南平面。</w:t>
      </w:r>
      <w:r>
        <w:rPr>
          <w:rFonts w:ascii="DejaVu Sans Mono" w:hAnsi="DejaVu Sans Mono"/>
          <w:b w:val="0"/>
          <w:i w:val="0"/>
          <w:sz w:val="17"/>
        </w:rPr>
        <w:t>PlaneOfArrayParameters</w:t>
      </w:r>
      <w:r>
        <w:rPr>
          <w:b w:val="0"/>
          <w:i w:val="0"/>
        </w:rPr>
        <w:t xml:space="preserve"> 给定 </w:t>
      </w:r>
      <w:r>
        <w:rPr>
          <w:rFonts w:ascii="DejaVu Sans Mono" w:hAnsi="DejaVu Sans Mono"/>
          <w:b w:val="0"/>
          <w:i w:val="0"/>
          <w:sz w:val="17"/>
        </w:rPr>
        <w:t>albedo=0.2</w:t>
      </w:r>
      <w:r>
        <w:rPr>
          <w:b w:val="0"/>
          <w:i w:val="0"/>
        </w:rPr>
        <w:t>、</w:t>
      </w:r>
      <w:r>
        <w:rPr>
          <w:rFonts w:ascii="DejaVu Sans Mono" w:hAnsi="DejaVu Sans Mono"/>
          <w:b w:val="0"/>
          <w:i w:val="0"/>
          <w:sz w:val="17"/>
        </w:rPr>
        <w:t>solar_​constant_​w_​m2=1361</w:t>
      </w:r>
      <w:r>
        <w:rPr>
          <w:b w:val="0"/>
          <w:i w:val="0"/>
        </w:rPr>
        <w:t>、</w:t>
      </w:r>
      <w:r>
        <w:rPr>
          <w:rFonts w:ascii="DejaVu Sans Mono" w:hAnsi="DejaVu Sans Mono"/>
          <w:b w:val="0"/>
          <w:i w:val="0"/>
          <w:sz w:val="17"/>
        </w:rPr>
        <w:t>max_zenith_deg=87</w:t>
      </w:r>
      <w:r>
        <w:rPr>
          <w:b w:val="0"/>
          <w:i w:val="0"/>
        </w:rPr>
        <w:t>；允许的反照率范围为 [0,1]，太阳常数范围为 1,300–1,400 W/m²，天顶角阈值范围为 [80,90) 度。</w:t>
      </w:r>
    </w:p>
    <w:p>
      <w:pPr>
        <w:pStyle w:val="Heading2"/>
      </w:pPr>
      <w:r>
        <w:rPr>
          <w:b w:val="0"/>
          <w:i w:val="0"/>
        </w:rPr>
        <w:t>太阳几何</w:t>
      </w:r>
    </w:p>
    <w:p>
      <w:pPr>
        <w:keepNext/>
      </w:pPr>
      <w:r>
        <w:rPr>
          <w:b w:val="0"/>
          <w:i w:val="0"/>
        </w:rPr>
        <w:t>太阳几何采用运行时段的 UTC 中点。</w:t>
      </w:r>
      <w:r>
        <w:rPr>
          <w:rFonts w:ascii="DejaVu Sans Mono" w:hAnsi="DejaVu Sans Mono"/>
          <w:b w:val="0"/>
          <w:i w:val="0"/>
          <w:sz w:val="17"/>
        </w:rPr>
        <w:t>period_clock</w:t>
      </w:r>
      <w:r>
        <w:rPr>
          <w:b w:val="0"/>
          <w:i w:val="0"/>
        </w:rPr>
        <w:t xml:space="preserve"> 返回年内日 </w:t>
      </w:r>
      <w:r>
        <w:rPr>
          <w:rFonts w:ascii="DejaVu Sans Mono" w:hAnsi="DejaVu Sans Mono"/>
          <w:b w:val="0"/>
          <w:i w:val="0"/>
          <w:sz w:val="17"/>
        </w:rPr>
        <w:t>day_of_year</w:t>
      </w:r>
      <w:r>
        <w:rPr>
          <w:b w:val="0"/>
          <w:i w:val="0"/>
        </w:rPr>
        <w:t xml:space="preserve"> 和小时 </w:t>
      </w:r>
      <w:r>
        <w:rPr>
          <w:rFonts w:ascii="DejaVu Sans Mono" w:hAnsi="DejaVu Sans Mono"/>
          <w:b w:val="0"/>
          <w:i w:val="0"/>
          <w:sz w:val="17"/>
        </w:rPr>
        <w:t>utc_hours</w:t>
      </w:r>
      <w:r>
        <w:rPr>
          <w:b w:val="0"/>
          <w:i w:val="0"/>
        </w:rPr>
        <w:t>，</w:t>
      </w:r>
      <w:r>
        <w:rPr>
          <w:rFonts w:ascii="DejaVu Sans Mono" w:hAnsi="DejaVu Sans Mono"/>
          <w:b w:val="0"/>
          <w:i w:val="0"/>
          <w:sz w:val="17"/>
        </w:rPr>
        <w:t>day_angle</w:t>
      </w:r>
      <w:r>
        <w:rPr>
          <w:b w:val="0"/>
          <w:i w:val="0"/>
        </w:rPr>
        <w:t xml:space="preserve"> 计算以弧度表示的年角 </w:t>
      </w:r>
      <w:r>
        <w:rPr>
          <w:rFonts w:ascii="DejaVu Sans Mono" w:hAnsi="DejaVu Sans Mono"/>
          <w:b w:val="0"/>
          <w:i w:val="0"/>
          <w:sz w:val="17"/>
        </w:rPr>
        <w:t>g</w:t>
      </w:r>
      <w:r>
        <w:rPr>
          <w:b w:val="0"/>
          <w:i w:val="0"/>
        </w:rPr>
        <w:t xml:space="preserve">。对从零开始的时段 </w:t>
      </w:r>
      <w:r>
        <w:rPr>
          <w:rFonts w:ascii="DejaVu Sans Mono" w:hAnsi="DejaVu Sans Mono"/>
          <w:b w:val="0"/>
          <w:i w:val="0"/>
          <w:sz w:val="17"/>
        </w:rPr>
        <w:t>t</w:t>
      </w:r>
      <w:r>
        <w:rPr>
          <w:b w:val="0"/>
          <w:i w:val="0"/>
        </w:rPr>
        <w:t>，</w:t>
      </w:r>
    </w:p>
    <w:p>
      <w:pPr>
        <w:spacing w:after="160"/>
        <w:jc w:val="center"/>
      </w:pPr>
      <w:r>
        <w:drawing>
          <wp:inline xmlns:a="http://schemas.openxmlformats.org/drawingml/2006/main" xmlns:pic="http://schemas.openxmlformats.org/drawingml/2006/picture">
            <wp:extent cx="3229356" cy="621645"/>
            <wp:docPr id="17" name="Picture 17"/>
            <wp:cNvGraphicFramePr>
              <a:graphicFrameLocks noChangeAspect="1"/>
            </wp:cNvGraphicFramePr>
            <a:graphic>
              <a:graphicData uri="http://schemas.openxmlformats.org/drawingml/2006/picture">
                <pic:pic>
                  <pic:nvPicPr>
                    <pic:cNvPr id="0" name="eq-017.png"/>
                    <pic:cNvPicPr/>
                  </pic:nvPicPr>
                  <pic:blipFill>
                    <a:blip r:embed="rId27"/>
                    <a:stretch>
                      <a:fillRect/>
                    </a:stretch>
                  </pic:blipFill>
                  <pic:spPr>
                    <a:xfrm>
                      <a:off x="0" y="0"/>
                      <a:ext cx="3229356" cy="621645"/>
                    </a:xfrm>
                    <a:prstGeom prst="rect"/>
                  </pic:spPr>
                </pic:pic>
              </a:graphicData>
            </a:graphic>
          </wp:inline>
        </w:drawing>
      </w:r>
    </w:p>
    <w:p>
      <w:pPr>
        <w:keepNext/>
      </w:pPr>
      <w:r>
        <w:rPr>
          <w:b w:val="0"/>
          <w:i w:val="0"/>
        </w:rPr>
        <w:t xml:space="preserve">赤纬和轨道修正由 </w:t>
      </w:r>
      <w:r>
        <w:rPr>
          <w:rFonts w:ascii="DejaVu Sans Mono" w:hAnsi="DejaVu Sans Mono"/>
          <w:b w:val="0"/>
          <w:i w:val="0"/>
          <w:sz w:val="17"/>
        </w:rPr>
        <w:t>declination</w:t>
      </w:r>
      <w:r>
        <w:rPr>
          <w:b w:val="0"/>
          <w:i w:val="0"/>
        </w:rPr>
        <w:t>、</w:t>
      </w:r>
      <w:r>
        <w:rPr>
          <w:rFonts w:ascii="DejaVu Sans Mono" w:hAnsi="DejaVu Sans Mono"/>
          <w:b w:val="0"/>
          <w:i w:val="0"/>
          <w:sz w:val="17"/>
        </w:rPr>
        <w:t>equation_​of_​time_​minutes</w:t>
      </w:r>
      <w:r>
        <w:rPr>
          <w:b w:val="0"/>
          <w:i w:val="0"/>
        </w:rPr>
        <w:t>、</w:t>
      </w:r>
      <w:r>
        <w:rPr>
          <w:rFonts w:ascii="DejaVu Sans Mono" w:hAnsi="DejaVu Sans Mono"/>
          <w:b w:val="0"/>
          <w:i w:val="0"/>
          <w:sz w:val="17"/>
        </w:rPr>
        <w:t>eccentricity_factor</w:t>
      </w:r>
      <w:r>
        <w:rPr>
          <w:b w:val="0"/>
          <w:i w:val="0"/>
        </w:rPr>
        <w:t xml:space="preserve"> 的下列系数计算。所得 </w:t>
      </w:r>
      <w:r>
        <w:rPr>
          <w:rFonts w:ascii="DejaVu Sans Mono" w:hAnsi="DejaVu Sans Mono"/>
          <w:b w:val="0"/>
          <w:i w:val="0"/>
          <w:sz w:val="17"/>
        </w:rPr>
        <w:t>decl</w:t>
      </w:r>
      <w:r>
        <w:rPr>
          <w:b w:val="0"/>
          <w:i w:val="0"/>
        </w:rPr>
        <w:t xml:space="preserve"> 以弧度表示，时差以分钟表示，轨道距离因子为无量纲：</w:t>
      </w:r>
    </w:p>
    <w:p>
      <w:pPr>
        <w:spacing w:after="160"/>
        <w:jc w:val="center"/>
      </w:pPr>
      <w:r>
        <w:drawing>
          <wp:inline xmlns:a="http://schemas.openxmlformats.org/drawingml/2006/main" xmlns:pic="http://schemas.openxmlformats.org/drawingml/2006/picture">
            <wp:extent cx="3705682" cy="621805"/>
            <wp:docPr id="18" name="Picture 18"/>
            <wp:cNvGraphicFramePr>
              <a:graphicFrameLocks noChangeAspect="1"/>
            </wp:cNvGraphicFramePr>
            <a:graphic>
              <a:graphicData uri="http://schemas.openxmlformats.org/drawingml/2006/picture">
                <pic:pic>
                  <pic:nvPicPr>
                    <pic:cNvPr id="0" name="eq-018.png"/>
                    <pic:cNvPicPr/>
                  </pic:nvPicPr>
                  <pic:blipFill>
                    <a:blip r:embed="rId28"/>
                    <a:stretch>
                      <a:fillRect/>
                    </a:stretch>
                  </pic:blipFill>
                  <pic:spPr>
                    <a:xfrm>
                      <a:off x="0" y="0"/>
                      <a:ext cx="3705682" cy="621805"/>
                    </a:xfrm>
                    <a:prstGeom prst="rect"/>
                  </pic:spPr>
                </pic:pic>
              </a:graphicData>
            </a:graphic>
          </wp:inline>
        </w:drawing>
      </w:r>
    </w:p>
    <w:p>
      <w:pPr>
        <w:spacing w:after="160"/>
        <w:jc w:val="center"/>
      </w:pPr>
      <w:r>
        <w:drawing>
          <wp:inline xmlns:a="http://schemas.openxmlformats.org/drawingml/2006/main" xmlns:pic="http://schemas.openxmlformats.org/drawingml/2006/picture">
            <wp:extent cx="5353050" cy="690273"/>
            <wp:docPr id="19" name="Picture 19"/>
            <wp:cNvGraphicFramePr>
              <a:graphicFrameLocks noChangeAspect="1"/>
            </wp:cNvGraphicFramePr>
            <a:graphic>
              <a:graphicData uri="http://schemas.openxmlformats.org/drawingml/2006/picture">
                <pic:pic>
                  <pic:nvPicPr>
                    <pic:cNvPr id="0" name="eq-019.png"/>
                    <pic:cNvPicPr/>
                  </pic:nvPicPr>
                  <pic:blipFill>
                    <a:blip r:embed="rId29"/>
                    <a:stretch>
                      <a:fillRect/>
                    </a:stretch>
                  </pic:blipFill>
                  <pic:spPr>
                    <a:xfrm>
                      <a:off x="0" y="0"/>
                      <a:ext cx="5353050" cy="690273"/>
                    </a:xfrm>
                    <a:prstGeom prst="rect"/>
                  </pic:spPr>
                </pic:pic>
              </a:graphicData>
            </a:graphic>
          </wp:inline>
        </w:drawing>
      </w:r>
    </w:p>
    <w:p>
      <w:pPr>
        <w:spacing w:after="160"/>
        <w:jc w:val="center"/>
      </w:pPr>
      <w:r>
        <w:drawing>
          <wp:inline xmlns:a="http://schemas.openxmlformats.org/drawingml/2006/main" xmlns:pic="http://schemas.openxmlformats.org/drawingml/2006/picture">
            <wp:extent cx="4900498" cy="621705"/>
            <wp:docPr id="20" name="Picture 20"/>
            <wp:cNvGraphicFramePr>
              <a:graphicFrameLocks noChangeAspect="1"/>
            </wp:cNvGraphicFramePr>
            <a:graphic>
              <a:graphicData uri="http://schemas.openxmlformats.org/drawingml/2006/picture">
                <pic:pic>
                  <pic:nvPicPr>
                    <pic:cNvPr id="0" name="eq-020.png"/>
                    <pic:cNvPicPr/>
                  </pic:nvPicPr>
                  <pic:blipFill>
                    <a:blip r:embed="rId30"/>
                    <a:stretch>
                      <a:fillRect/>
                    </a:stretch>
                  </pic:blipFill>
                  <pic:spPr>
                    <a:xfrm>
                      <a:off x="0" y="0"/>
                      <a:ext cx="4900498" cy="621705"/>
                    </a:xfrm>
                    <a:prstGeom prst="rect"/>
                  </pic:spPr>
                </pic:pic>
              </a:graphicData>
            </a:graphic>
          </wp:inline>
        </w:drawing>
      </w:r>
    </w:p>
    <w:p>
      <w:pPr>
        <w:keepNext/>
      </w:pPr>
      <w:r>
        <w:rPr>
          <w:b w:val="0"/>
          <w:i w:val="0"/>
        </w:rPr>
        <w:t>经度和时差确定当地太阳时及小时角。</w:t>
      </w:r>
      <w:r>
        <w:rPr>
          <w:rFonts w:ascii="DejaVu Sans Mono" w:hAnsi="DejaVu Sans Mono"/>
          <w:b w:val="0"/>
          <w:i w:val="0"/>
          <w:sz w:val="17"/>
        </w:rPr>
        <w:t>longitude_deg</w:t>
      </w:r>
      <w:r>
        <w:rPr>
          <w:b w:val="0"/>
          <w:i w:val="0"/>
        </w:rPr>
        <w:t xml:space="preserve"> 以东经为正，</w:t>
      </w:r>
      <w:r>
        <w:rPr>
          <w:rFonts w:ascii="DejaVu Sans Mono" w:hAnsi="DejaVu Sans Mono"/>
          <w:b w:val="0"/>
          <w:i w:val="0"/>
          <w:sz w:val="17"/>
        </w:rPr>
        <w:t>solar_time</w:t>
      </w:r>
      <w:r>
        <w:rPr>
          <w:b w:val="0"/>
          <w:i w:val="0"/>
        </w:rPr>
        <w:t xml:space="preserve"> 以小时表示，</w:t>
      </w:r>
      <w:r>
        <w:rPr>
          <w:rFonts w:ascii="DejaVu Sans Mono" w:hAnsi="DejaVu Sans Mono"/>
          <w:b w:val="0"/>
          <w:i w:val="0"/>
          <w:sz w:val="17"/>
        </w:rPr>
        <w:t>omega</w:t>
      </w:r>
      <w:r>
        <w:rPr>
          <w:b w:val="0"/>
          <w:i w:val="0"/>
        </w:rPr>
        <w:t xml:space="preserve"> 以弧度表示。</w:t>
      </w:r>
      <w:r>
        <w:rPr>
          <w:rFonts w:ascii="DejaVu Sans Mono" w:hAnsi="DejaVu Sans Mono"/>
          <w:b w:val="0"/>
          <w:i w:val="0"/>
          <w:sz w:val="17"/>
        </w:rPr>
        <w:t>incidence_cosines</w:t>
      </w:r>
      <w:r>
        <w:rPr>
          <w:b w:val="0"/>
          <w:i w:val="0"/>
        </w:rPr>
        <w:t xml:space="preserve"> 将纬度和倾角转换为弧度量 </w:t>
      </w:r>
      <w:r>
        <w:rPr>
          <w:rFonts w:ascii="DejaVu Sans Mono" w:hAnsi="DejaVu Sans Mono"/>
          <w:b w:val="0"/>
          <w:i w:val="0"/>
          <w:sz w:val="17"/>
        </w:rPr>
        <w:t>phi</w:t>
      </w:r>
      <w:r>
        <w:rPr>
          <w:b w:val="0"/>
          <w:i w:val="0"/>
        </w:rPr>
        <w:t>、</w:t>
      </w:r>
      <w:r>
        <w:rPr>
          <w:rFonts w:ascii="DejaVu Sans Mono" w:hAnsi="DejaVu Sans Mono"/>
          <w:b w:val="0"/>
          <w:i w:val="0"/>
          <w:sz w:val="17"/>
        </w:rPr>
        <w:t>beta</w:t>
      </w:r>
      <w:r>
        <w:rPr>
          <w:b w:val="0"/>
          <w:i w:val="0"/>
        </w:rPr>
        <w:t xml:space="preserve">，返回天顶角和入射角的余弦 </w:t>
      </w:r>
      <w:r>
        <w:rPr>
          <w:rFonts w:ascii="DejaVu Sans Mono" w:hAnsi="DejaVu Sans Mono"/>
          <w:b w:val="0"/>
          <w:i w:val="0"/>
          <w:sz w:val="17"/>
        </w:rPr>
        <w:t>cos_z</w:t>
      </w:r>
      <w:r>
        <w:rPr>
          <w:b w:val="0"/>
          <w:i w:val="0"/>
        </w:rPr>
        <w:t>、</w:t>
      </w:r>
      <w:r>
        <w:rPr>
          <w:rFonts w:ascii="DejaVu Sans Mono" w:hAnsi="DejaVu Sans Mono"/>
          <w:b w:val="0"/>
          <w:i w:val="0"/>
          <w:sz w:val="17"/>
        </w:rPr>
        <w:t>cos_theta</w:t>
      </w:r>
      <w:r>
        <w:rPr>
          <w:b w:val="0"/>
          <w:i w:val="0"/>
        </w:rPr>
        <w:t>：</w:t>
      </w:r>
    </w:p>
    <w:p>
      <w:pPr>
        <w:spacing w:after="160"/>
        <w:jc w:val="center"/>
      </w:pPr>
      <w:r>
        <w:drawing>
          <wp:inline xmlns:a="http://schemas.openxmlformats.org/drawingml/2006/main" xmlns:pic="http://schemas.openxmlformats.org/drawingml/2006/picture">
            <wp:extent cx="4954219" cy="1518044"/>
            <wp:docPr id="21" name="Picture 21"/>
            <wp:cNvGraphicFramePr>
              <a:graphicFrameLocks noChangeAspect="1"/>
            </wp:cNvGraphicFramePr>
            <a:graphic>
              <a:graphicData uri="http://schemas.openxmlformats.org/drawingml/2006/picture">
                <pic:pic>
                  <pic:nvPicPr>
                    <pic:cNvPr id="0" name="eq-021.png"/>
                    <pic:cNvPicPr/>
                  </pic:nvPicPr>
                  <pic:blipFill>
                    <a:blip r:embed="rId31"/>
                    <a:stretch>
                      <a:fillRect/>
                    </a:stretch>
                  </pic:blipFill>
                  <pic:spPr>
                    <a:xfrm>
                      <a:off x="0" y="0"/>
                      <a:ext cx="4954219" cy="1518044"/>
                    </a:xfrm>
                    <a:prstGeom prst="rect"/>
                  </pic:spPr>
                </pic:pic>
              </a:graphicData>
            </a:graphic>
          </wp:inline>
        </w:drawing>
      </w:r>
    </w:p>
    <w:p>
      <w:pPr>
        <w:pStyle w:val="Heading2"/>
      </w:pPr>
      <w:r>
        <w:rPr>
          <w:b w:val="0"/>
          <w:i w:val="0"/>
        </w:rPr>
        <w:t>散射分解与阵列平面辐照度</w:t>
      </w:r>
    </w:p>
    <w:p>
      <w:pPr>
        <w:keepNext/>
      </w:pPr>
      <w:r>
        <w:rPr>
          <w:b w:val="0"/>
          <w:i w:val="0"/>
        </w:rPr>
        <w:t>水平辐照度被分解为散射与直射分量。</w:t>
      </w:r>
      <w:r>
        <w:rPr>
          <w:rFonts w:ascii="DejaVu Sans Mono" w:hAnsi="DejaVu Sans Mono"/>
          <w:b w:val="0"/>
          <w:i w:val="0"/>
          <w:sz w:val="17"/>
        </w:rPr>
        <w:t>plane_of_array</w:t>
      </w:r>
      <w:r>
        <w:rPr>
          <w:b w:val="0"/>
          <w:i w:val="0"/>
        </w:rPr>
        <w:t xml:space="preserve"> 将 </w:t>
      </w:r>
      <w:r>
        <w:rPr>
          <w:rFonts w:ascii="DejaVu Sans Mono" w:hAnsi="DejaVu Sans Mono"/>
          <w:b w:val="0"/>
          <w:i w:val="0"/>
          <w:sz w:val="17"/>
        </w:rPr>
        <w:t>ghi_kw_m2</w:t>
      </w:r>
      <w:r>
        <w:rPr>
          <w:b w:val="0"/>
          <w:i w:val="0"/>
        </w:rPr>
        <w:t xml:space="preserve"> 的非负部分记为 kW/m² 的 </w:t>
      </w:r>
      <w:r>
        <w:rPr>
          <w:rFonts w:ascii="DejaVu Sans Mono" w:hAnsi="DejaVu Sans Mono"/>
          <w:b w:val="0"/>
          <w:i w:val="0"/>
          <w:sz w:val="17"/>
        </w:rPr>
        <w:t>ghi</w:t>
      </w:r>
      <w:r>
        <w:rPr>
          <w:b w:val="0"/>
          <w:i w:val="0"/>
        </w:rPr>
        <w:t>，</w:t>
      </w:r>
      <w:r>
        <w:rPr>
          <w:rFonts w:ascii="DejaVu Sans Mono" w:hAnsi="DejaVu Sans Mono"/>
          <w:b w:val="0"/>
          <w:i w:val="0"/>
          <w:sz w:val="17"/>
        </w:rPr>
        <w:t>extraterrestrial_normal</w:t>
      </w:r>
      <w:r>
        <w:rPr>
          <w:b w:val="0"/>
          <w:i w:val="0"/>
        </w:rPr>
        <w:t xml:space="preserve"> 等于 </w:t>
      </w:r>
      <w:r>
        <w:rPr>
          <w:rFonts w:ascii="DejaVu Sans Mono" w:hAnsi="DejaVu Sans Mono"/>
          <w:b w:val="0"/>
          <w:i w:val="0"/>
          <w:sz w:val="17"/>
        </w:rPr>
        <w:t>parameters.solar_​constant_​w_​m2 / 1000.0 * eccentricity_​factor(day_​of_​year)</w:t>
      </w:r>
      <w:r>
        <w:rPr>
          <w:b w:val="0"/>
          <w:i w:val="0"/>
        </w:rPr>
        <w:t>，默认乘数为 1.361 kW/m²。</w:t>
      </w:r>
      <w:r>
        <w:rPr>
          <w:rFonts w:ascii="DejaVu Sans Mono" w:hAnsi="DejaVu Sans Mono"/>
          <w:b w:val="0"/>
          <w:i w:val="0"/>
          <w:sz w:val="17"/>
        </w:rPr>
        <w:t>ghi</w:t>
      </w:r>
      <w:r>
        <w:rPr>
          <w:b w:val="0"/>
          <w:i w:val="0"/>
        </w:rPr>
        <w:t xml:space="preserve"> 为正且天顶角小于 87° 时，晴朗指数为</w:t>
      </w:r>
    </w:p>
    <w:p>
      <w:pPr>
        <w:spacing w:after="160"/>
        <w:jc w:val="center"/>
      </w:pPr>
      <w:r>
        <w:drawing>
          <wp:inline xmlns:a="http://schemas.openxmlformats.org/drawingml/2006/main" xmlns:pic="http://schemas.openxmlformats.org/drawingml/2006/picture">
            <wp:extent cx="4778654" cy="413845"/>
            <wp:docPr id="22" name="Picture 22"/>
            <wp:cNvGraphicFramePr>
              <a:graphicFrameLocks noChangeAspect="1"/>
            </wp:cNvGraphicFramePr>
            <a:graphic>
              <a:graphicData uri="http://schemas.openxmlformats.org/drawingml/2006/picture">
                <pic:pic>
                  <pic:nvPicPr>
                    <pic:cNvPr id="0" name="eq-022.png"/>
                    <pic:cNvPicPr/>
                  </pic:nvPicPr>
                  <pic:blipFill>
                    <a:blip r:embed="rId32"/>
                    <a:stretch>
                      <a:fillRect/>
                    </a:stretch>
                  </pic:blipFill>
                  <pic:spPr>
                    <a:xfrm>
                      <a:off x="0" y="0"/>
                      <a:ext cx="4778654" cy="413845"/>
                    </a:xfrm>
                    <a:prstGeom prst="rect"/>
                  </pic:spPr>
                </pic:pic>
              </a:graphicData>
            </a:graphic>
          </wp:inline>
        </w:drawing>
      </w:r>
    </w:p>
    <w:p>
      <w:pPr>
        <w:keepNext/>
      </w:pPr>
      <w:r>
        <w:rPr>
          <w:b w:val="0"/>
          <w:i w:val="0"/>
        </w:rPr>
        <w:t xml:space="preserve">散射比例采用 </w:t>
      </w:r>
      <w:r>
        <w:rPr>
          <w:b w:val="0"/>
          <w:i w:val="0"/>
        </w:rPr>
        <w:t>Erbs、Klein 和 Duffie（1982），Solar Energy 28(4)，293–302</w:t>
      </w:r>
      <w:r>
        <w:rPr>
          <w:b w:val="0"/>
          <w:i w:val="0"/>
        </w:rPr>
        <w:t xml:space="preserve"> 的逐时关系。</w:t>
      </w:r>
      <w:r>
        <w:rPr>
          <w:rFonts w:ascii="DejaVu Sans Mono" w:hAnsi="DejaVu Sans Mono"/>
          <w:b w:val="0"/>
          <w:i w:val="0"/>
          <w:sz w:val="17"/>
        </w:rPr>
        <w:t>kd</w:t>
      </w:r>
      <w:r>
        <w:rPr>
          <w:b w:val="0"/>
          <w:i w:val="0"/>
        </w:rPr>
        <w:t xml:space="preserve"> 取决于无量纲晴朗指数 </w:t>
      </w:r>
      <w:r>
        <w:rPr>
          <w:rFonts w:ascii="DejaVu Sans Mono" w:hAnsi="DejaVu Sans Mono"/>
          <w:b w:val="0"/>
          <w:i w:val="0"/>
          <w:sz w:val="17"/>
        </w:rPr>
        <w:t>kt</w:t>
      </w:r>
      <w:r>
        <w:rPr>
          <w:b w:val="0"/>
          <w:i w:val="0"/>
        </w:rPr>
        <w:t>，</w:t>
      </w:r>
      <w:r>
        <w:rPr>
          <w:rFonts w:ascii="DejaVu Sans Mono" w:hAnsi="DejaVu Sans Mono"/>
          <w:b w:val="0"/>
          <w:i w:val="0"/>
          <w:sz w:val="17"/>
        </w:rPr>
        <w:t>middle</w:t>
      </w:r>
      <w:r>
        <w:rPr>
          <w:b w:val="0"/>
          <w:i w:val="0"/>
        </w:rPr>
        <w:t xml:space="preserve"> 为中间区间的多项式值：</w:t>
      </w:r>
    </w:p>
    <w:p>
      <w:pPr>
        <w:spacing w:after="160"/>
        <w:jc w:val="center"/>
      </w:pPr>
      <w:r>
        <w:drawing>
          <wp:inline xmlns:a="http://schemas.openxmlformats.org/drawingml/2006/main" xmlns:pic="http://schemas.openxmlformats.org/drawingml/2006/picture">
            <wp:extent cx="3232861" cy="1081431"/>
            <wp:docPr id="23" name="Picture 23"/>
            <wp:cNvGraphicFramePr>
              <a:graphicFrameLocks noChangeAspect="1"/>
            </wp:cNvGraphicFramePr>
            <a:graphic>
              <a:graphicData uri="http://schemas.openxmlformats.org/drawingml/2006/picture">
                <pic:pic>
                  <pic:nvPicPr>
                    <pic:cNvPr id="0" name="eq-023.png"/>
                    <pic:cNvPicPr/>
                  </pic:nvPicPr>
                  <pic:blipFill>
                    <a:blip r:embed="rId33"/>
                    <a:stretch>
                      <a:fillRect/>
                    </a:stretch>
                  </pic:blipFill>
                  <pic:spPr>
                    <a:xfrm>
                      <a:off x="0" y="0"/>
                      <a:ext cx="3232861" cy="1081431"/>
                    </a:xfrm>
                    <a:prstGeom prst="rect"/>
                  </pic:spPr>
                </pic:pic>
              </a:graphicData>
            </a:graphic>
          </wp:inline>
        </w:drawing>
      </w:r>
    </w:p>
    <w:p>
      <w:pPr>
        <w:keepNext/>
      </w:pPr>
      <w:r>
        <w:rPr>
          <w:b w:val="0"/>
          <w:i w:val="0"/>
        </w:rPr>
        <w:t>Hay–Davies（1980）转换</w:t>
      </w:r>
      <w:r>
        <w:rPr>
          <w:b w:val="0"/>
          <w:i w:val="0"/>
        </w:rPr>
        <w:t xml:space="preserve"> 将直射、天空散射和地面反射辐照度合并。</w:t>
      </w:r>
      <w:r>
        <w:rPr>
          <w:rFonts w:ascii="DejaVu Sans Mono" w:hAnsi="DejaVu Sans Mono"/>
          <w:b w:val="0"/>
          <w:i w:val="0"/>
          <w:sz w:val="17"/>
        </w:rPr>
        <w:t>dhi</w:t>
      </w:r>
      <w:r>
        <w:rPr>
          <w:b w:val="0"/>
          <w:i w:val="0"/>
        </w:rPr>
        <w:t>、</w:t>
      </w:r>
      <w:r>
        <w:rPr>
          <w:rFonts w:ascii="DejaVu Sans Mono" w:hAnsi="DejaVu Sans Mono"/>
          <w:b w:val="0"/>
          <w:i w:val="0"/>
          <w:sz w:val="17"/>
        </w:rPr>
        <w:t>bhi</w:t>
      </w:r>
      <w:r>
        <w:rPr>
          <w:b w:val="0"/>
          <w:i w:val="0"/>
        </w:rPr>
        <w:t>、</w:t>
      </w:r>
      <w:r>
        <w:rPr>
          <w:rFonts w:ascii="DejaVu Sans Mono" w:hAnsi="DejaVu Sans Mono"/>
          <w:b w:val="0"/>
          <w:i w:val="0"/>
          <w:sz w:val="17"/>
        </w:rPr>
        <w:t>dni</w:t>
      </w:r>
      <w:r>
        <w:rPr>
          <w:b w:val="0"/>
          <w:i w:val="0"/>
        </w:rPr>
        <w:t xml:space="preserve"> 分别为水平散射、水平直射和法向直射辐照度，单位为 kW/m²；</w:t>
      </w:r>
      <w:r>
        <w:rPr>
          <w:rFonts w:ascii="DejaVu Sans Mono" w:hAnsi="DejaVu Sans Mono"/>
          <w:b w:val="0"/>
          <w:i w:val="0"/>
          <w:sz w:val="17"/>
        </w:rPr>
        <w:t>anisotropy</w:t>
      </w:r>
      <w:r>
        <w:rPr>
          <w:b w:val="0"/>
          <w:i w:val="0"/>
        </w:rPr>
        <w:t>、</w:t>
      </w:r>
      <w:r>
        <w:rPr>
          <w:rFonts w:ascii="DejaVu Sans Mono" w:hAnsi="DejaVu Sans Mono"/>
          <w:b w:val="0"/>
          <w:i w:val="0"/>
          <w:sz w:val="17"/>
        </w:rPr>
        <w:t>beam_ratio</w:t>
      </w:r>
      <w:r>
        <w:rPr>
          <w:b w:val="0"/>
          <w:i w:val="0"/>
        </w:rPr>
        <w:t>、</w:t>
      </w:r>
      <w:r>
        <w:rPr>
          <w:rFonts w:ascii="DejaVu Sans Mono" w:hAnsi="DejaVu Sans Mono"/>
          <w:b w:val="0"/>
          <w:i w:val="0"/>
          <w:sz w:val="17"/>
        </w:rPr>
        <w:t>sky_view</w:t>
      </w:r>
      <w:r>
        <w:rPr>
          <w:b w:val="0"/>
          <w:i w:val="0"/>
        </w:rPr>
        <w:t>、</w:t>
      </w:r>
      <w:r>
        <w:rPr>
          <w:rFonts w:ascii="DejaVu Sans Mono" w:hAnsi="DejaVu Sans Mono"/>
          <w:b w:val="0"/>
          <w:i w:val="0"/>
          <w:sz w:val="17"/>
        </w:rPr>
        <w:t>ground_view</w:t>
      </w:r>
      <w:r>
        <w:rPr>
          <w:b w:val="0"/>
          <w:i w:val="0"/>
        </w:rPr>
        <w:t xml:space="preserve"> 为无量纲，默认 </w:t>
      </w:r>
      <w:r>
        <w:rPr>
          <w:rFonts w:ascii="DejaVu Sans Mono" w:hAnsi="DejaVu Sans Mono"/>
          <w:b w:val="0"/>
          <w:i w:val="0"/>
          <w:sz w:val="17"/>
        </w:rPr>
        <w:t>albedo</w:t>
      </w:r>
      <w:r>
        <w:rPr>
          <w:b w:val="0"/>
          <w:i w:val="0"/>
        </w:rPr>
        <w:t xml:space="preserve"> 为 0.2。阵列平面辐照度 </w:t>
      </w:r>
      <w:r>
        <w:rPr>
          <w:rFonts w:ascii="DejaVu Sans Mono" w:hAnsi="DejaVu Sans Mono"/>
          <w:b w:val="0"/>
          <w:i w:val="0"/>
          <w:sz w:val="17"/>
        </w:rPr>
        <w:t>poa</w:t>
      </w:r>
      <w:r>
        <w:rPr>
          <w:b w:val="0"/>
          <w:i w:val="0"/>
        </w:rPr>
        <w:t xml:space="preserve"> 为</w:t>
      </w:r>
    </w:p>
    <w:p>
      <w:pPr>
        <w:spacing w:after="160"/>
        <w:jc w:val="center"/>
      </w:pPr>
      <w:r>
        <w:drawing>
          <wp:inline xmlns:a="http://schemas.openxmlformats.org/drawingml/2006/main" xmlns:pic="http://schemas.openxmlformats.org/drawingml/2006/picture">
            <wp:extent cx="4915052" cy="2706708"/>
            <wp:docPr id="24" name="Picture 24"/>
            <wp:cNvGraphicFramePr>
              <a:graphicFrameLocks noChangeAspect="1"/>
            </wp:cNvGraphicFramePr>
            <a:graphic>
              <a:graphicData uri="http://schemas.openxmlformats.org/drawingml/2006/picture">
                <pic:pic>
                  <pic:nvPicPr>
                    <pic:cNvPr id="0" name="eq-024.png"/>
                    <pic:cNvPicPr/>
                  </pic:nvPicPr>
                  <pic:blipFill>
                    <a:blip r:embed="rId34"/>
                    <a:stretch>
                      <a:fillRect/>
                    </a:stretch>
                  </pic:blipFill>
                  <pic:spPr>
                    <a:xfrm>
                      <a:off x="0" y="0"/>
                      <a:ext cx="4915052" cy="2706708"/>
                    </a:xfrm>
                    <a:prstGeom prst="rect"/>
                  </pic:spPr>
                </pic:pic>
              </a:graphicData>
            </a:graphic>
          </wp:inline>
        </w:drawing>
      </w:r>
    </w:p>
    <w:p>
      <w:r>
        <w:rPr>
          <w:b w:val="0"/>
          <w:i w:val="0"/>
        </w:rPr>
        <w:t xml:space="preserve">天顶角达到或超过 87° 或 </w:t>
      </w:r>
      <w:r>
        <w:rPr>
          <w:rFonts w:ascii="DejaVu Sans Mono" w:hAnsi="DejaVu Sans Mono"/>
          <w:b w:val="0"/>
          <w:i w:val="0"/>
          <w:sz w:val="17"/>
        </w:rPr>
        <w:t>ghi</w:t>
      </w:r>
      <w:r>
        <w:rPr>
          <w:b w:val="0"/>
          <w:i w:val="0"/>
        </w:rPr>
        <w:t xml:space="preserve"> 为零时，取 </w:t>
      </w:r>
      <w:r>
        <w:rPr>
          <w:rFonts w:ascii="DejaVu Sans Mono" w:hAnsi="DejaVu Sans Mono"/>
          <w:b w:val="0"/>
          <w:i w:val="0"/>
          <w:sz w:val="17"/>
        </w:rPr>
        <w:t>kt=0</w:t>
      </w:r>
      <w:r>
        <w:rPr>
          <w:b w:val="0"/>
          <w:i w:val="0"/>
        </w:rPr>
        <w:t>、</w:t>
      </w:r>
      <w:r>
        <w:rPr>
          <w:rFonts w:ascii="DejaVu Sans Mono" w:hAnsi="DejaVu Sans Mono"/>
          <w:b w:val="0"/>
          <w:i w:val="0"/>
          <w:sz w:val="17"/>
        </w:rPr>
        <w:t>kd=1</w:t>
      </w:r>
      <w:r>
        <w:rPr>
          <w:b w:val="0"/>
          <w:i w:val="0"/>
        </w:rPr>
        <w:t>、</w:t>
      </w:r>
      <w:r>
        <w:rPr>
          <w:rFonts w:ascii="DejaVu Sans Mono" w:hAnsi="DejaVu Sans Mono"/>
          <w:b w:val="0"/>
          <w:i w:val="0"/>
          <w:sz w:val="17"/>
        </w:rPr>
        <w:t>dhi=ghi</w:t>
      </w:r>
      <w:r>
        <w:rPr>
          <w:b w:val="0"/>
          <w:i w:val="0"/>
        </w:rPr>
        <w:t>、</w:t>
      </w:r>
      <w:r>
        <w:rPr>
          <w:rFonts w:ascii="DejaVu Sans Mono" w:hAnsi="DejaVu Sans Mono"/>
          <w:b w:val="0"/>
          <w:i w:val="0"/>
          <w:sz w:val="17"/>
        </w:rPr>
        <w:t>bhi=0</w:t>
      </w:r>
      <w:r>
        <w:rPr>
          <w:b w:val="0"/>
          <w:i w:val="0"/>
        </w:rPr>
        <w:t>、</w:t>
      </w:r>
      <w:r>
        <w:rPr>
          <w:rFonts w:ascii="DejaVu Sans Mono" w:hAnsi="DejaVu Sans Mono"/>
          <w:b w:val="0"/>
          <w:i w:val="0"/>
          <w:sz w:val="17"/>
        </w:rPr>
        <w:t>dni=0</w:t>
      </w:r>
      <w:r>
        <w:rPr>
          <w:b w:val="0"/>
          <w:i w:val="0"/>
        </w:rPr>
        <w:t>、</w:t>
      </w:r>
      <w:r>
        <w:rPr>
          <w:rFonts w:ascii="DejaVu Sans Mono" w:hAnsi="DejaVu Sans Mono"/>
          <w:b w:val="0"/>
          <w:i w:val="0"/>
          <w:sz w:val="17"/>
        </w:rPr>
        <w:t>anisotropy=0</w:t>
      </w:r>
      <w:r>
        <w:rPr>
          <w:b w:val="0"/>
          <w:i w:val="0"/>
        </w:rPr>
        <w:t>、</w:t>
      </w:r>
      <w:r>
        <w:rPr>
          <w:rFonts w:ascii="DejaVu Sans Mono" w:hAnsi="DejaVu Sans Mono"/>
          <w:b w:val="0"/>
          <w:i w:val="0"/>
          <w:sz w:val="17"/>
        </w:rPr>
        <w:t>beam_ratio=0</w:t>
      </w:r>
      <w:r>
        <w:rPr>
          <w:b w:val="0"/>
          <w:i w:val="0"/>
        </w:rPr>
        <w:t xml:space="preserve">，所得 </w:t>
      </w:r>
      <w:r>
        <w:rPr>
          <w:rFonts w:ascii="DejaVu Sans Mono" w:hAnsi="DejaVu Sans Mono"/>
          <w:b w:val="0"/>
          <w:i w:val="0"/>
          <w:sz w:val="17"/>
        </w:rPr>
        <w:t>poa</w:t>
      </w:r>
      <w:r>
        <w:rPr>
          <w:b w:val="0"/>
          <w:i w:val="0"/>
        </w:rPr>
        <w:t xml:space="preserve"> 保留散射和地面反射分量。调整参数后，条件中的 87° 改用选定的 </w:t>
      </w:r>
      <w:r>
        <w:rPr>
          <w:rFonts w:ascii="DejaVu Sans Mono" w:hAnsi="DejaVu Sans Mono"/>
          <w:b w:val="0"/>
          <w:i w:val="0"/>
          <w:sz w:val="17"/>
        </w:rPr>
        <w:t>max_zenith_deg</w:t>
      </w:r>
      <w:r>
        <w:rPr>
          <w:b w:val="0"/>
          <w:i w:val="0"/>
        </w:rPr>
        <w:t>。</w:t>
      </w:r>
    </w:p>
    <w:p>
      <w:pPr>
        <w:keepNext/>
      </w:pPr>
      <w:r>
        <w:rPr>
          <w:b w:val="0"/>
          <w:i w:val="0"/>
        </w:rPr>
        <w:t>阵列平面辐照度经性能比转换为出力系数，再取上限 1。默认参数下，</w:t>
      </w:r>
      <w:r>
        <w:rPr>
          <w:rFonts w:ascii="DejaVu Sans Mono" w:hAnsi="DejaVu Sans Mono"/>
          <w:b w:val="0"/>
          <w:i w:val="0"/>
          <w:sz w:val="17"/>
        </w:rPr>
        <w:t>site_cf_by_source</w:t>
      </w:r>
      <w:r>
        <w:rPr>
          <w:b w:val="0"/>
          <w:i w:val="0"/>
        </w:rPr>
        <w:t xml:space="preserve"> 返回的无量纲系数 </w:t>
      </w:r>
      <w:r>
        <w:rPr>
          <w:rFonts w:ascii="DejaVu Sans Mono" w:hAnsi="DejaVu Sans Mono"/>
          <w:b w:val="0"/>
          <w:i w:val="0"/>
          <w:sz w:val="17"/>
        </w:rPr>
        <w:t>values</w:t>
      </w:r>
      <w:r>
        <w:rPr>
          <w:b w:val="0"/>
          <w:i w:val="0"/>
        </w:rPr>
        <w:t xml:space="preserve"> 为</w:t>
      </w:r>
    </w:p>
    <w:p>
      <w:pPr>
        <w:spacing w:after="160"/>
        <w:jc w:val="center"/>
      </w:pPr>
      <w:r>
        <w:drawing>
          <wp:inline xmlns:a="http://schemas.openxmlformats.org/drawingml/2006/main" xmlns:pic="http://schemas.openxmlformats.org/drawingml/2006/picture">
            <wp:extent cx="1983333" cy="171371"/>
            <wp:docPr id="25" name="Picture 25"/>
            <wp:cNvGraphicFramePr>
              <a:graphicFrameLocks noChangeAspect="1"/>
            </wp:cNvGraphicFramePr>
            <a:graphic>
              <a:graphicData uri="http://schemas.openxmlformats.org/drawingml/2006/picture">
                <pic:pic>
                  <pic:nvPicPr>
                    <pic:cNvPr id="0" name="eq-025.png"/>
                    <pic:cNvPicPr/>
                  </pic:nvPicPr>
                  <pic:blipFill>
                    <a:blip r:embed="rId35"/>
                    <a:stretch>
                      <a:fillRect/>
                    </a:stretch>
                  </pic:blipFill>
                  <pic:spPr>
                    <a:xfrm>
                      <a:off x="0" y="0"/>
                      <a:ext cx="1983333" cy="171371"/>
                    </a:xfrm>
                    <a:prstGeom prst="rect"/>
                  </pic:spPr>
                </pic:pic>
              </a:graphicData>
            </a:graphic>
          </wp:inline>
        </w:drawing>
      </w:r>
    </w:p>
    <w:p>
      <w:r>
        <w:rPr>
          <w:b w:val="0"/>
          <w:i w:val="0"/>
        </w:rPr>
        <w:t xml:space="preserve">出力系数上限在阵列平面转换之后施加。水平转换将性能比直接作用于 </w:t>
      </w:r>
      <w:r>
        <w:rPr>
          <w:rFonts w:ascii="DejaVu Sans Mono" w:hAnsi="DejaVu Sans Mono"/>
          <w:b w:val="0"/>
          <w:i w:val="0"/>
          <w:sz w:val="17"/>
        </w:rPr>
        <w:t>hourly[index]</w:t>
      </w:r>
      <w:r>
        <w:rPr>
          <w:b w:val="0"/>
          <w:i w:val="0"/>
        </w:rPr>
        <w:t>。以下算法覆盖风电、瞬时光伏和累计光伏输入：</w:t>
      </w:r>
      <w:r>
        <w:rPr>
          <w:rFonts w:ascii="DejaVu Sans Mono" w:hAnsi="DejaVu Sans Mono"/>
          <w:b w:val="0"/>
          <w:i w:val="0"/>
          <w:sz w:val="17"/>
        </w:rPr>
        <w:t>ds</w:t>
      </w:r>
      <w:r>
        <w:rPr>
          <w:b w:val="0"/>
          <w:i w:val="0"/>
        </w:rPr>
        <w:t xml:space="preserve"> 为已打开的 NetCDF，</w:t>
      </w:r>
      <w:r>
        <w:rPr>
          <w:rFonts w:ascii="DejaVu Sans Mono" w:hAnsi="DejaVu Sans Mono"/>
          <w:b w:val="0"/>
          <w:i w:val="0"/>
          <w:sz w:val="17"/>
        </w:rPr>
        <w:t>binding</w:t>
      </w:r>
      <w:r>
        <w:rPr>
          <w:b w:val="0"/>
          <w:i w:val="0"/>
        </w:rPr>
        <w:t xml:space="preserve"> 声明时间约定，</w:t>
      </w:r>
      <w:r>
        <w:rPr>
          <w:rFonts w:ascii="DejaVu Sans Mono" w:hAnsi="DejaVu Sans Mono"/>
          <w:b w:val="0"/>
          <w:i w:val="0"/>
          <w:sz w:val="17"/>
        </w:rPr>
        <w:t>periods</w:t>
      </w:r>
      <w:r>
        <w:rPr>
          <w:b w:val="0"/>
          <w:i w:val="0"/>
        </w:rPr>
        <w:t xml:space="preserve"> 为所需半小时数，</w:t>
      </w:r>
      <w:r>
        <w:rPr>
          <w:rFonts w:ascii="DejaVu Sans Mono" w:hAnsi="DejaVu Sans Mono"/>
          <w:b w:val="0"/>
          <w:i w:val="0"/>
          <w:sz w:val="17"/>
        </w:rPr>
        <w:t>method</w:t>
      </w:r>
      <w:r>
        <w:rPr>
          <w:b w:val="0"/>
          <w:i w:val="0"/>
        </w:rPr>
        <w:t xml:space="preserve"> 包含 </w:t>
      </w:r>
      <w:r>
        <w:rPr>
          <w:rFonts w:ascii="DejaVu Sans Mono" w:hAnsi="DejaVu Sans Mono"/>
          <w:b w:val="0"/>
          <w:i w:val="0"/>
          <w:sz w:val="17"/>
        </w:rPr>
        <w:t>clock</w:t>
      </w:r>
      <w:r>
        <w:rPr>
          <w:b w:val="0"/>
          <w:i w:val="0"/>
        </w:rPr>
        <w:t>、</w:t>
      </w:r>
      <w:r>
        <w:rPr>
          <w:rFonts w:ascii="DejaVu Sans Mono" w:hAnsi="DejaVu Sans Mono"/>
          <w:b w:val="0"/>
          <w:i w:val="0"/>
          <w:sz w:val="17"/>
        </w:rPr>
        <w:t>loss_factors</w:t>
      </w:r>
      <w:r>
        <w:rPr>
          <w:b w:val="0"/>
          <w:i w:val="0"/>
        </w:rPr>
        <w:t>、</w:t>
      </w:r>
      <w:r>
        <w:rPr>
          <w:rFonts w:ascii="DejaVu Sans Mono" w:hAnsi="DejaVu Sans Mono"/>
          <w:b w:val="0"/>
          <w:i w:val="0"/>
          <w:sz w:val="17"/>
        </w:rPr>
        <w:t>plane_of_array</w:t>
      </w:r>
      <w:r>
        <w:rPr>
          <w:b w:val="0"/>
          <w:i w:val="0"/>
        </w:rPr>
        <w:t>。</w:t>
      </w:r>
    </w:p>
    <w:p>
      <w:pPr>
        <w:keepLines/>
        <w:spacing w:line="276" w:lineRule="auto" w:after="160"/>
      </w:pPr>
      <w:r>
        <w:rPr>
          <w:rFonts w:ascii="DejaVu Sans Mono" w:hAnsi="DejaVu Sans Mono"/>
          <w:b w:val="0"/>
          <w:i w:val="0"/>
          <w:sz w:val="17"/>
        </w:rPr>
        <w:t>hourly, evidence = hourly_unit_cf(ds, technology, latitude, longitude, binding)</w:t>
        <w:br/>
        <w:t>index = hour_index(periods, len(hourly), method.clock, evidence["time_convention"])</w:t>
        <w:br/>
        <w:t>values = hourly[index]</w:t>
        <w:br/>
        <w:t>poa_applied = False</w:t>
        <w:br/>
        <w:t>if technology == "solar" and method.plane_of_array:</w:t>
        <w:br/>
        <w:t xml:space="preserve">    poa_applied, reason = plane_​of_​array_​applies(method, evidence["time_convention"])</w:t>
        <w:br/>
        <w:t xml:space="preserve">    if poa_applied:</w:t>
        <w:br/>
        <w:t xml:space="preserve">        values, poa_evidence = plane_of_array(values, latitude_deg=latitude,</w:t>
        <w:br/>
        <w:t xml:space="preserve">            longitude_​deg=longitude, parameters=plane_​of_​array_​parameters())</w:t>
        <w:br/>
        <w:t>multiplier = method.multiplier(technology)</w:t>
        <w:br/>
        <w:t>values = values * multiplier</w:t>
        <w:br/>
        <w:t>if poa_applied:</w:t>
        <w:br/>
        <w:t xml:space="preserve">    values = np.minimum(values, 1.0)</w:t>
        <w:br/>
        <w:t>return values</w:t>
        <w:br/>
      </w:r>
    </w:p>
    <w:p>
      <w:pPr>
        <w:pStyle w:val="Heading2"/>
      </w:pPr>
      <w:r>
        <w:rPr>
          <w:b w:val="0"/>
          <w:i w:val="0"/>
        </w:rPr>
        <w:t>项目位置与天气混合</w:t>
      </w:r>
    </w:p>
    <w:p>
      <w:r>
        <w:rPr>
          <w:b w:val="0"/>
          <w:i w:val="0"/>
        </w:rPr>
        <w:t>资产按技术和位置取得代表天气。英国模板列出 11 个光伏、11 个陆风代表点及 21 个海风代表点名称；R029 的 2025 年装机中，正容量资产分别为 11、11、18 个。运行资产在第 2 章的初始筛选时完成映射，规划项目在投运前获得代表点。</w:t>
      </w:r>
    </w:p>
    <w:p>
      <w:pPr>
        <w:keepNext/>
      </w:pPr>
      <w:r>
        <w:rPr>
          <w:b w:val="0"/>
          <w:i w:val="0"/>
        </w:rPr>
        <w:t>规划项目的显式位置优先。</w:t>
      </w:r>
      <w:r>
        <w:rPr>
          <w:rFonts w:ascii="DejaVu Sans Mono" w:hAnsi="DejaVu Sans Mono"/>
          <w:b w:val="0"/>
          <w:i w:val="0"/>
          <w:sz w:val="17"/>
        </w:rPr>
        <w:t>attach_project_weather</w:t>
      </w:r>
      <w:r>
        <w:rPr>
          <w:b w:val="0"/>
          <w:i w:val="0"/>
        </w:rPr>
        <w:t xml:space="preserve"> 先读取项目的 </w:t>
      </w:r>
      <w:r>
        <w:rPr>
          <w:rFonts w:ascii="DejaVu Sans Mono" w:hAnsi="DejaVu Sans Mono"/>
          <w:b w:val="0"/>
          <w:i w:val="0"/>
          <w:sz w:val="17"/>
        </w:rPr>
        <w:t>latitude</w:t>
      </w:r>
      <w:r>
        <w:rPr>
          <w:b w:val="0"/>
          <w:i w:val="0"/>
        </w:rPr>
        <w:t>、</w:t>
      </w:r>
      <w:r>
        <w:rPr>
          <w:rFonts w:ascii="DejaVu Sans Mono" w:hAnsi="DejaVu Sans Mono"/>
          <w:b w:val="0"/>
          <w:i w:val="0"/>
          <w:sz w:val="17"/>
        </w:rPr>
        <w:t>longitude</w:t>
      </w:r>
      <w:r>
        <w:rPr>
          <w:b w:val="0"/>
          <w:i w:val="0"/>
        </w:rPr>
        <w:t xml:space="preserve">，再按 </w:t>
      </w:r>
      <w:r>
        <w:rPr>
          <w:rFonts w:ascii="DejaVu Sans Mono" w:hAnsi="DejaVu Sans Mono"/>
          <w:b w:val="0"/>
          <w:i w:val="0"/>
          <w:sz w:val="17"/>
        </w:rPr>
        <w:t>physical_project_id</w:t>
      </w:r>
      <w:r>
        <w:rPr>
          <w:b w:val="0"/>
          <w:i w:val="0"/>
        </w:rPr>
        <w:t xml:space="preserve"> 查找原始 REPD 行，坐标仍缺失时按站名查找。有限坐标被分配至同技术最近的代表点。</w:t>
      </w:r>
      <w:r>
        <w:rPr>
          <w:rFonts w:ascii="DejaVu Sans Mono" w:hAnsi="DejaVu Sans Mono"/>
          <w:b w:val="0"/>
          <w:i w:val="0"/>
          <w:sz w:val="17"/>
        </w:rPr>
        <w:t>nearest_site</w:t>
      </w:r>
      <w:r>
        <w:rPr>
          <w:b w:val="0"/>
          <w:i w:val="0"/>
        </w:rPr>
        <w:t xml:space="preserve"> 将项目坐标转为弧度量 </w:t>
      </w:r>
      <w:r>
        <w:rPr>
          <w:rFonts w:ascii="DejaVu Sans Mono" w:hAnsi="DejaVu Sans Mono"/>
          <w:b w:val="0"/>
          <w:i w:val="0"/>
          <w:sz w:val="17"/>
        </w:rPr>
        <w:t>lat1</w:t>
      </w:r>
      <w:r>
        <w:rPr>
          <w:b w:val="0"/>
          <w:i w:val="0"/>
        </w:rPr>
        <w:t>、</w:t>
      </w:r>
      <w:r>
        <w:rPr>
          <w:rFonts w:ascii="DejaVu Sans Mono" w:hAnsi="DejaVu Sans Mono"/>
          <w:b w:val="0"/>
          <w:i w:val="0"/>
          <w:sz w:val="17"/>
        </w:rPr>
        <w:t>lon1</w:t>
      </w:r>
      <w:r>
        <w:rPr>
          <w:b w:val="0"/>
          <w:i w:val="0"/>
        </w:rPr>
        <w:t xml:space="preserve">，将代表点坐标转为 </w:t>
      </w:r>
      <w:r>
        <w:rPr>
          <w:rFonts w:ascii="DejaVu Sans Mono" w:hAnsi="DejaVu Sans Mono"/>
          <w:b w:val="0"/>
          <w:i w:val="0"/>
          <w:sz w:val="17"/>
        </w:rPr>
        <w:t>lat2</w:t>
      </w:r>
      <w:r>
        <w:rPr>
          <w:b w:val="0"/>
          <w:i w:val="0"/>
        </w:rPr>
        <w:t>、</w:t>
      </w:r>
      <w:r>
        <w:rPr>
          <w:rFonts w:ascii="DejaVu Sans Mono" w:hAnsi="DejaVu Sans Mono"/>
          <w:b w:val="0"/>
          <w:i w:val="0"/>
          <w:sz w:val="17"/>
        </w:rPr>
        <w:t>lon2</w:t>
      </w:r>
      <w:r>
        <w:rPr>
          <w:b w:val="0"/>
          <w:i w:val="0"/>
        </w:rPr>
        <w:t>，以 km 表示的距离为</w:t>
      </w:r>
    </w:p>
    <w:p>
      <w:pPr>
        <w:spacing w:after="160"/>
        <w:jc w:val="center"/>
      </w:pPr>
      <w:r>
        <w:drawing>
          <wp:inline xmlns:a="http://schemas.openxmlformats.org/drawingml/2006/main" xmlns:pic="http://schemas.openxmlformats.org/drawingml/2006/picture">
            <wp:extent cx="4308805" cy="985196"/>
            <wp:docPr id="26" name="Picture 26"/>
            <wp:cNvGraphicFramePr>
              <a:graphicFrameLocks noChangeAspect="1"/>
            </wp:cNvGraphicFramePr>
            <a:graphic>
              <a:graphicData uri="http://schemas.openxmlformats.org/drawingml/2006/picture">
                <pic:pic>
                  <pic:nvPicPr>
                    <pic:cNvPr id="0" name="eq-026.png"/>
                    <pic:cNvPicPr/>
                  </pic:nvPicPr>
                  <pic:blipFill>
                    <a:blip r:embed="rId36"/>
                    <a:stretch>
                      <a:fillRect/>
                    </a:stretch>
                  </pic:blipFill>
                  <pic:spPr>
                    <a:xfrm>
                      <a:off x="0" y="0"/>
                      <a:ext cx="4308805" cy="985196"/>
                    </a:xfrm>
                    <a:prstGeom prst="rect"/>
                  </pic:spPr>
                </pic:pic>
              </a:graphicData>
            </a:graphic>
          </wp:inline>
        </w:drawing>
      </w:r>
    </w:p>
    <w:p>
      <w:r>
        <w:rPr>
          <w:b w:val="0"/>
          <w:i w:val="0"/>
        </w:rPr>
        <w:t>等距时选择声明顺序中的第一个代表点。缺少坐标的规划光伏、陆风项目采用 REPD 地区与下表的城市映射。初始运行资产读取也使用该表，在初始步骤中地区优先于坐标。</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722"/>
        <w:gridCol w:w="4070"/>
      </w:tblGrid>
      <w:tr>
        <w:trPr>
          <w:cantSplit/>
          <w:tblHeader w:val="true"/>
        </w:trPr>
        <w:tc>
          <w:tcPr>
            <w:tcW w:type="dxa" w:w="5722"/>
            <w:vAlign w:val="center"/>
            <w:tcMar>
              <w:top w:w="90" w:type="dxa"/>
              <w:left w:w="90" w:type="dxa"/>
              <w:bottom w:w="90" w:type="dxa"/>
              <w:right w:w="90" w:type="dxa"/>
            </w:tcMar>
            <w:shd w:fill="EEEEEE"/>
          </w:tcPr>
          <w:p>
            <w:pPr>
              <w:spacing w:after="40" w:line="276" w:lineRule="auto"/>
            </w:pPr>
            <w:r>
              <w:rPr>
                <w:b/>
                <w:i w:val="0"/>
                <w:sz w:val="18"/>
              </w:rPr>
              <w:t>REPD 地区</w:t>
            </w:r>
          </w:p>
        </w:tc>
        <w:tc>
          <w:tcPr>
            <w:tcW w:type="dxa" w:w="4070"/>
            <w:vAlign w:val="center"/>
            <w:tcMar>
              <w:top w:w="90" w:type="dxa"/>
              <w:left w:w="90" w:type="dxa"/>
              <w:bottom w:w="90" w:type="dxa"/>
              <w:right w:w="90" w:type="dxa"/>
            </w:tcMar>
            <w:shd w:fill="EEEEEE"/>
          </w:tcPr>
          <w:p>
            <w:pPr>
              <w:spacing w:after="40" w:line="276" w:lineRule="auto"/>
            </w:pPr>
            <w:r>
              <w:rPr>
                <w:b/>
                <w:i w:val="0"/>
                <w:sz w:val="18"/>
              </w:rPr>
              <w:t>代表点</w:t>
            </w:r>
          </w:p>
        </w:tc>
      </w:tr>
      <w:tr>
        <w:trPr>
          <w:cantSplit/>
        </w:trPr>
        <w:tc>
          <w:tcPr>
            <w:tcW w:type="dxa" w:w="5722"/>
            <w:vAlign w:val="center"/>
            <w:tcMar>
              <w:top w:w="90" w:type="dxa"/>
              <w:left w:w="90" w:type="dxa"/>
              <w:bottom w:w="90" w:type="dxa"/>
              <w:right w:w="90" w:type="dxa"/>
            </w:tcMar>
          </w:tcPr>
          <w:p>
            <w:pPr>
              <w:spacing w:after="40" w:line="276" w:lineRule="auto"/>
            </w:pPr>
            <w:r>
              <w:rPr>
                <w:b w:val="0"/>
                <w:i w:val="0"/>
                <w:sz w:val="18"/>
              </w:rPr>
              <w:t>East Midlands</w:t>
            </w:r>
          </w:p>
        </w:tc>
        <w:tc>
          <w:tcPr>
            <w:tcW w:type="dxa" w:w="4070"/>
            <w:vAlign w:val="center"/>
            <w:tcMar>
              <w:top w:w="90" w:type="dxa"/>
              <w:left w:w="90" w:type="dxa"/>
              <w:bottom w:w="90" w:type="dxa"/>
              <w:right w:w="90" w:type="dxa"/>
            </w:tcMar>
          </w:tcPr>
          <w:p>
            <w:pPr>
              <w:spacing w:after="40" w:line="276" w:lineRule="auto"/>
            </w:pPr>
            <w:r>
              <w:rPr>
                <w:b w:val="0"/>
                <w:i w:val="0"/>
                <w:sz w:val="18"/>
              </w:rPr>
              <w:t>Nottingham</w:t>
            </w:r>
          </w:p>
        </w:tc>
      </w:tr>
      <w:tr>
        <w:trPr>
          <w:cantSplit/>
        </w:trPr>
        <w:tc>
          <w:tcPr>
            <w:tcW w:type="dxa" w:w="5722"/>
            <w:vAlign w:val="center"/>
            <w:tcMar>
              <w:top w:w="90" w:type="dxa"/>
              <w:left w:w="90" w:type="dxa"/>
              <w:bottom w:w="90" w:type="dxa"/>
              <w:right w:w="90" w:type="dxa"/>
            </w:tcMar>
          </w:tcPr>
          <w:p>
            <w:pPr>
              <w:spacing w:after="40" w:line="276" w:lineRule="auto"/>
            </w:pPr>
            <w:r>
              <w:rPr>
                <w:b w:val="0"/>
                <w:i w:val="0"/>
                <w:sz w:val="18"/>
              </w:rPr>
              <w:t>Eastern</w:t>
            </w:r>
          </w:p>
        </w:tc>
        <w:tc>
          <w:tcPr>
            <w:tcW w:type="dxa" w:w="4070"/>
            <w:vAlign w:val="center"/>
            <w:tcMar>
              <w:top w:w="90" w:type="dxa"/>
              <w:left w:w="90" w:type="dxa"/>
              <w:bottom w:w="90" w:type="dxa"/>
              <w:right w:w="90" w:type="dxa"/>
            </w:tcMar>
          </w:tcPr>
          <w:p>
            <w:pPr>
              <w:spacing w:after="40" w:line="276" w:lineRule="auto"/>
            </w:pPr>
            <w:r>
              <w:rPr>
                <w:b w:val="0"/>
                <w:i w:val="0"/>
                <w:sz w:val="18"/>
              </w:rPr>
              <w:t>Ipswich</w:t>
            </w:r>
          </w:p>
        </w:tc>
      </w:tr>
      <w:tr>
        <w:trPr>
          <w:cantSplit/>
        </w:trPr>
        <w:tc>
          <w:tcPr>
            <w:tcW w:type="dxa" w:w="5722"/>
            <w:vAlign w:val="center"/>
            <w:tcMar>
              <w:top w:w="90" w:type="dxa"/>
              <w:left w:w="90" w:type="dxa"/>
              <w:bottom w:w="90" w:type="dxa"/>
              <w:right w:w="90" w:type="dxa"/>
            </w:tcMar>
          </w:tcPr>
          <w:p>
            <w:pPr>
              <w:spacing w:after="40" w:line="276" w:lineRule="auto"/>
            </w:pPr>
            <w:r>
              <w:rPr>
                <w:b w:val="0"/>
                <w:i w:val="0"/>
                <w:sz w:val="18"/>
              </w:rPr>
              <w:t>London</w:t>
            </w:r>
          </w:p>
        </w:tc>
        <w:tc>
          <w:tcPr>
            <w:tcW w:type="dxa" w:w="4070"/>
            <w:vAlign w:val="center"/>
            <w:tcMar>
              <w:top w:w="90" w:type="dxa"/>
              <w:left w:w="90" w:type="dxa"/>
              <w:bottom w:w="90" w:type="dxa"/>
              <w:right w:w="90" w:type="dxa"/>
            </w:tcMar>
          </w:tcPr>
          <w:p>
            <w:pPr>
              <w:spacing w:after="40" w:line="276" w:lineRule="auto"/>
            </w:pPr>
            <w:r>
              <w:rPr>
                <w:b w:val="0"/>
                <w:i w:val="0"/>
                <w:sz w:val="18"/>
              </w:rPr>
              <w:t>London</w:t>
            </w:r>
          </w:p>
        </w:tc>
      </w:tr>
      <w:tr>
        <w:trPr>
          <w:cantSplit/>
        </w:trPr>
        <w:tc>
          <w:tcPr>
            <w:tcW w:type="dxa" w:w="5722"/>
            <w:vAlign w:val="center"/>
            <w:tcMar>
              <w:top w:w="90" w:type="dxa"/>
              <w:left w:w="90" w:type="dxa"/>
              <w:bottom w:w="90" w:type="dxa"/>
              <w:right w:w="90" w:type="dxa"/>
            </w:tcMar>
          </w:tcPr>
          <w:p>
            <w:pPr>
              <w:spacing w:after="40" w:line="276" w:lineRule="auto"/>
            </w:pPr>
            <w:r>
              <w:rPr>
                <w:b w:val="0"/>
                <w:i w:val="0"/>
                <w:sz w:val="18"/>
              </w:rPr>
              <w:t>North East</w:t>
            </w:r>
          </w:p>
        </w:tc>
        <w:tc>
          <w:tcPr>
            <w:tcW w:type="dxa" w:w="4070"/>
            <w:vAlign w:val="center"/>
            <w:tcMar>
              <w:top w:w="90" w:type="dxa"/>
              <w:left w:w="90" w:type="dxa"/>
              <w:bottom w:w="90" w:type="dxa"/>
              <w:right w:w="90" w:type="dxa"/>
            </w:tcMar>
          </w:tcPr>
          <w:p>
            <w:pPr>
              <w:spacing w:after="40" w:line="276" w:lineRule="auto"/>
            </w:pPr>
            <w:r>
              <w:rPr>
                <w:b w:val="0"/>
                <w:i w:val="0"/>
                <w:sz w:val="18"/>
              </w:rPr>
              <w:t>Newcastle</w:t>
            </w:r>
          </w:p>
        </w:tc>
      </w:tr>
      <w:tr>
        <w:trPr>
          <w:cantSplit/>
        </w:trPr>
        <w:tc>
          <w:tcPr>
            <w:tcW w:type="dxa" w:w="5722"/>
            <w:vAlign w:val="center"/>
            <w:tcMar>
              <w:top w:w="90" w:type="dxa"/>
              <w:left w:w="90" w:type="dxa"/>
              <w:bottom w:w="90" w:type="dxa"/>
              <w:right w:w="90" w:type="dxa"/>
            </w:tcMar>
          </w:tcPr>
          <w:p>
            <w:pPr>
              <w:spacing w:after="40" w:line="276" w:lineRule="auto"/>
            </w:pPr>
            <w:r>
              <w:rPr>
                <w:b w:val="0"/>
                <w:i w:val="0"/>
                <w:sz w:val="18"/>
              </w:rPr>
              <w:t>North West</w:t>
            </w:r>
          </w:p>
        </w:tc>
        <w:tc>
          <w:tcPr>
            <w:tcW w:type="dxa" w:w="4070"/>
            <w:vAlign w:val="center"/>
            <w:tcMar>
              <w:top w:w="90" w:type="dxa"/>
              <w:left w:w="90" w:type="dxa"/>
              <w:bottom w:w="90" w:type="dxa"/>
              <w:right w:w="90" w:type="dxa"/>
            </w:tcMar>
          </w:tcPr>
          <w:p>
            <w:pPr>
              <w:spacing w:after="40" w:line="276" w:lineRule="auto"/>
            </w:pPr>
            <w:r>
              <w:rPr>
                <w:b w:val="0"/>
                <w:i w:val="0"/>
                <w:sz w:val="18"/>
              </w:rPr>
              <w:t>Manchester</w:t>
            </w:r>
          </w:p>
        </w:tc>
      </w:tr>
      <w:tr>
        <w:trPr>
          <w:cantSplit/>
        </w:trPr>
        <w:tc>
          <w:tcPr>
            <w:tcW w:type="dxa" w:w="5722"/>
            <w:vAlign w:val="center"/>
            <w:tcMar>
              <w:top w:w="90" w:type="dxa"/>
              <w:left w:w="90" w:type="dxa"/>
              <w:bottom w:w="90" w:type="dxa"/>
              <w:right w:w="90" w:type="dxa"/>
            </w:tcMar>
          </w:tcPr>
          <w:p>
            <w:pPr>
              <w:spacing w:after="40" w:line="276" w:lineRule="auto"/>
            </w:pPr>
            <w:r>
              <w:rPr>
                <w:b w:val="0"/>
                <w:i w:val="0"/>
                <w:sz w:val="18"/>
              </w:rPr>
              <w:t>Scotland</w:t>
            </w:r>
          </w:p>
        </w:tc>
        <w:tc>
          <w:tcPr>
            <w:tcW w:type="dxa" w:w="4070"/>
            <w:vAlign w:val="center"/>
            <w:tcMar>
              <w:top w:w="90" w:type="dxa"/>
              <w:left w:w="90" w:type="dxa"/>
              <w:bottom w:w="90" w:type="dxa"/>
              <w:right w:w="90" w:type="dxa"/>
            </w:tcMar>
          </w:tcPr>
          <w:p>
            <w:pPr>
              <w:spacing w:after="40" w:line="276" w:lineRule="auto"/>
            </w:pPr>
            <w:r>
              <w:rPr>
                <w:b w:val="0"/>
                <w:i w:val="0"/>
                <w:sz w:val="18"/>
              </w:rPr>
              <w:t>Edinburgh</w:t>
            </w:r>
          </w:p>
        </w:tc>
      </w:tr>
      <w:tr>
        <w:trPr>
          <w:cantSplit/>
        </w:trPr>
        <w:tc>
          <w:tcPr>
            <w:tcW w:type="dxa" w:w="5722"/>
            <w:vAlign w:val="center"/>
            <w:tcMar>
              <w:top w:w="90" w:type="dxa"/>
              <w:left w:w="90" w:type="dxa"/>
              <w:bottom w:w="90" w:type="dxa"/>
              <w:right w:w="90" w:type="dxa"/>
            </w:tcMar>
          </w:tcPr>
          <w:p>
            <w:pPr>
              <w:spacing w:after="40" w:line="276" w:lineRule="auto"/>
            </w:pPr>
            <w:r>
              <w:rPr>
                <w:b w:val="0"/>
                <w:i w:val="0"/>
                <w:sz w:val="18"/>
              </w:rPr>
              <w:t>South East</w:t>
            </w:r>
          </w:p>
        </w:tc>
        <w:tc>
          <w:tcPr>
            <w:tcW w:type="dxa" w:w="4070"/>
            <w:vAlign w:val="center"/>
            <w:tcMar>
              <w:top w:w="90" w:type="dxa"/>
              <w:left w:w="90" w:type="dxa"/>
              <w:bottom w:w="90" w:type="dxa"/>
              <w:right w:w="90" w:type="dxa"/>
            </w:tcMar>
          </w:tcPr>
          <w:p>
            <w:pPr>
              <w:spacing w:after="40" w:line="276" w:lineRule="auto"/>
            </w:pPr>
            <w:r>
              <w:rPr>
                <w:b w:val="0"/>
                <w:i w:val="0"/>
                <w:sz w:val="18"/>
              </w:rPr>
              <w:t>Portsmouth</w:t>
            </w:r>
          </w:p>
        </w:tc>
      </w:tr>
      <w:tr>
        <w:trPr>
          <w:cantSplit/>
        </w:trPr>
        <w:tc>
          <w:tcPr>
            <w:tcW w:type="dxa" w:w="5722"/>
            <w:vAlign w:val="center"/>
            <w:tcMar>
              <w:top w:w="90" w:type="dxa"/>
              <w:left w:w="90" w:type="dxa"/>
              <w:bottom w:w="90" w:type="dxa"/>
              <w:right w:w="90" w:type="dxa"/>
            </w:tcMar>
          </w:tcPr>
          <w:p>
            <w:pPr>
              <w:spacing w:after="40" w:line="276" w:lineRule="auto"/>
            </w:pPr>
            <w:r>
              <w:rPr>
                <w:b w:val="0"/>
                <w:i w:val="0"/>
                <w:sz w:val="18"/>
              </w:rPr>
              <w:t>South West</w:t>
            </w:r>
          </w:p>
        </w:tc>
        <w:tc>
          <w:tcPr>
            <w:tcW w:type="dxa" w:w="4070"/>
            <w:vAlign w:val="center"/>
            <w:tcMar>
              <w:top w:w="90" w:type="dxa"/>
              <w:left w:w="90" w:type="dxa"/>
              <w:bottom w:w="90" w:type="dxa"/>
              <w:right w:w="90" w:type="dxa"/>
            </w:tcMar>
          </w:tcPr>
          <w:p>
            <w:pPr>
              <w:spacing w:after="40" w:line="276" w:lineRule="auto"/>
            </w:pPr>
            <w:r>
              <w:rPr>
                <w:b w:val="0"/>
                <w:i w:val="0"/>
                <w:sz w:val="18"/>
              </w:rPr>
              <w:t>Bournemouth</w:t>
            </w:r>
          </w:p>
        </w:tc>
      </w:tr>
      <w:tr>
        <w:trPr>
          <w:cantSplit/>
        </w:trPr>
        <w:tc>
          <w:tcPr>
            <w:tcW w:type="dxa" w:w="5722"/>
            <w:vAlign w:val="center"/>
            <w:tcMar>
              <w:top w:w="90" w:type="dxa"/>
              <w:left w:w="90" w:type="dxa"/>
              <w:bottom w:w="90" w:type="dxa"/>
              <w:right w:w="90" w:type="dxa"/>
            </w:tcMar>
          </w:tcPr>
          <w:p>
            <w:pPr>
              <w:spacing w:after="40" w:line="276" w:lineRule="auto"/>
            </w:pPr>
            <w:r>
              <w:rPr>
                <w:b w:val="0"/>
                <w:i w:val="0"/>
                <w:sz w:val="18"/>
              </w:rPr>
              <w:t>Wales</w:t>
            </w:r>
          </w:p>
        </w:tc>
        <w:tc>
          <w:tcPr>
            <w:tcW w:type="dxa" w:w="4070"/>
            <w:vAlign w:val="center"/>
            <w:tcMar>
              <w:top w:w="90" w:type="dxa"/>
              <w:left w:w="90" w:type="dxa"/>
              <w:bottom w:w="90" w:type="dxa"/>
              <w:right w:w="90" w:type="dxa"/>
            </w:tcMar>
          </w:tcPr>
          <w:p>
            <w:pPr>
              <w:spacing w:after="40" w:line="276" w:lineRule="auto"/>
            </w:pPr>
            <w:r>
              <w:rPr>
                <w:b w:val="0"/>
                <w:i w:val="0"/>
                <w:sz w:val="18"/>
              </w:rPr>
              <w:t>Cardiff</w:t>
            </w:r>
          </w:p>
        </w:tc>
      </w:tr>
      <w:tr>
        <w:trPr>
          <w:cantSplit/>
        </w:trPr>
        <w:tc>
          <w:tcPr>
            <w:tcW w:type="dxa" w:w="5722"/>
            <w:vAlign w:val="center"/>
            <w:tcMar>
              <w:top w:w="90" w:type="dxa"/>
              <w:left w:w="90" w:type="dxa"/>
              <w:bottom w:w="90" w:type="dxa"/>
              <w:right w:w="90" w:type="dxa"/>
            </w:tcMar>
          </w:tcPr>
          <w:p>
            <w:pPr>
              <w:spacing w:after="40" w:line="276" w:lineRule="auto"/>
            </w:pPr>
            <w:r>
              <w:rPr>
                <w:b w:val="0"/>
                <w:i w:val="0"/>
                <w:sz w:val="18"/>
              </w:rPr>
              <w:t>West Midlands</w:t>
            </w:r>
          </w:p>
        </w:tc>
        <w:tc>
          <w:tcPr>
            <w:tcW w:type="dxa" w:w="4070"/>
            <w:vAlign w:val="center"/>
            <w:tcMar>
              <w:top w:w="90" w:type="dxa"/>
              <w:left w:w="90" w:type="dxa"/>
              <w:bottom w:w="90" w:type="dxa"/>
              <w:right w:w="90" w:type="dxa"/>
            </w:tcMar>
          </w:tcPr>
          <w:p>
            <w:pPr>
              <w:spacing w:after="40" w:line="276" w:lineRule="auto"/>
            </w:pPr>
            <w:r>
              <w:rPr>
                <w:b w:val="0"/>
                <w:i w:val="0"/>
                <w:sz w:val="18"/>
              </w:rPr>
              <w:t>Birmingham</w:t>
            </w:r>
          </w:p>
        </w:tc>
      </w:tr>
      <w:tr>
        <w:trPr>
          <w:cantSplit/>
        </w:trPr>
        <w:tc>
          <w:tcPr>
            <w:tcW w:type="dxa" w:w="5722"/>
            <w:vAlign w:val="center"/>
            <w:tcMar>
              <w:top w:w="90" w:type="dxa"/>
              <w:left w:w="90" w:type="dxa"/>
              <w:bottom w:w="90" w:type="dxa"/>
              <w:right w:w="90" w:type="dxa"/>
            </w:tcMar>
          </w:tcPr>
          <w:p>
            <w:pPr>
              <w:spacing w:after="40" w:line="276" w:lineRule="auto"/>
            </w:pPr>
            <w:r>
              <w:rPr>
                <w:b w:val="0"/>
                <w:i w:val="0"/>
                <w:sz w:val="18"/>
              </w:rPr>
              <w:t>Yorkshire and Humber</w:t>
            </w:r>
          </w:p>
        </w:tc>
        <w:tc>
          <w:tcPr>
            <w:tcW w:type="dxa" w:w="4070"/>
            <w:vAlign w:val="center"/>
            <w:tcMar>
              <w:top w:w="90" w:type="dxa"/>
              <w:left w:w="90" w:type="dxa"/>
              <w:bottom w:w="90" w:type="dxa"/>
              <w:right w:w="90" w:type="dxa"/>
            </w:tcMar>
          </w:tcPr>
          <w:p>
            <w:pPr>
              <w:spacing w:after="40" w:line="276" w:lineRule="auto"/>
            </w:pPr>
            <w:r>
              <w:rPr>
                <w:b w:val="0"/>
                <w:i w:val="0"/>
                <w:sz w:val="18"/>
              </w:rPr>
              <w:t>Sheffield</w:t>
            </w:r>
          </w:p>
        </w:tc>
      </w:tr>
    </w:tbl>
    <w:p>
      <w:pPr>
        <w:spacing w:after="20"/>
      </w:pPr>
    </w:p>
    <w:p>
      <w:r>
        <w:rPr>
          <w:b w:val="0"/>
          <w:i w:val="0"/>
        </w:rPr>
        <w:t>位置缺失的项目在投运时获得按容量加权的天气组合。</w:t>
      </w:r>
      <w:r>
        <w:rPr>
          <w:rFonts w:ascii="DejaVu Sans Mono" w:hAnsi="DejaVu Sans Mono"/>
          <w:b w:val="0"/>
          <w:i w:val="0"/>
          <w:sz w:val="17"/>
        </w:rPr>
        <w:t>commissioned_​project_​weather</w:t>
      </w:r>
      <w:r>
        <w:rPr>
          <w:b w:val="0"/>
          <w:i w:val="0"/>
        </w:rPr>
        <w:t xml:space="preserve"> 先将代表点运行容量累加为 </w:t>
      </w:r>
      <w:r>
        <w:rPr>
          <w:rFonts w:ascii="DejaVu Sans Mono" w:hAnsi="DejaVu Sans Mono"/>
          <w:b w:val="0"/>
          <w:i w:val="0"/>
          <w:sz w:val="17"/>
        </w:rPr>
        <w:t>stock[name]</w:t>
      </w:r>
      <w:r>
        <w:rPr>
          <w:b w:val="0"/>
          <w:i w:val="0"/>
        </w:rPr>
        <w:t>，再加入当年到期、具有显式位置的全部项目，随后按技术汇总其余项目。</w:t>
      </w:r>
      <w:r>
        <w:rPr>
          <w:rFonts w:ascii="DejaVu Sans Mono" w:hAnsi="DejaVu Sans Mono"/>
          <w:b w:val="0"/>
          <w:i w:val="0"/>
          <w:sz w:val="17"/>
        </w:rPr>
        <w:t>total_stock</w:t>
      </w:r>
      <w:r>
        <w:rPr>
          <w:b w:val="0"/>
          <w:i w:val="0"/>
        </w:rPr>
        <w:t xml:space="preserve"> 为相应运行 MW，</w:t>
      </w:r>
      <w:r>
        <w:rPr>
          <w:rFonts w:ascii="DejaVu Sans Mono" w:hAnsi="DejaVu Sans Mono"/>
          <w:b w:val="0"/>
          <w:i w:val="0"/>
          <w:sz w:val="17"/>
        </w:rPr>
        <w:t>total_new</w:t>
      </w:r>
      <w:r>
        <w:rPr>
          <w:b w:val="0"/>
          <w:i w:val="0"/>
        </w:rPr>
        <w:t xml:space="preserve"> 为新增 MW，</w:t>
      </w:r>
      <w:r>
        <w:rPr>
          <w:rFonts w:ascii="DejaVu Sans Mono" w:hAnsi="DejaVu Sans Mono"/>
          <w:b w:val="0"/>
          <w:i w:val="0"/>
          <w:sz w:val="17"/>
        </w:rPr>
        <w:t>names</w:t>
      </w:r>
      <w:r>
        <w:rPr>
          <w:b w:val="0"/>
          <w:i w:val="0"/>
        </w:rPr>
        <w:t xml:space="preserve"> 为该技术的代表点列表：</w:t>
      </w:r>
    </w:p>
    <w:p>
      <w:pPr>
        <w:keepLines/>
        <w:spacing w:line="276" w:lineRule="auto" w:after="160"/>
      </w:pPr>
      <w:r>
        <w:rPr>
          <w:rFonts w:ascii="DejaVu Sans Mono" w:hAnsi="DejaVu Sans Mono"/>
          <w:b w:val="0"/>
          <w:i w:val="0"/>
          <w:sz w:val="17"/>
        </w:rPr>
        <w:t>total_stock = sum(stock[name] for name in names)</w:t>
        <w:br/>
        <w:t>total_new = sum(p.capacity_mw for p in projects)</w:t>
        <w:br/>
        <w:t>if total_new &lt;= 0 or total_stock &lt;= 0:</w:t>
        <w:br/>
        <w:t xml:space="preserve">    weights = {names[0]: 1.0}</w:t>
        <w:br/>
        <w:t>else:</w:t>
        <w:br/>
        <w:t xml:space="preserve">    names.sort()</w:t>
        <w:br/>
        <w:t xml:space="preserve">    remaining, weights = total_new, {}</w:t>
        <w:br/>
        <w:t xml:space="preserve">    for i, name in enumerate(names):</w:t>
        <w:br/>
        <w:t xml:space="preserve">        amount = remaining if i == len(names) - 1 else total_new * stock[name] / total_stock</w:t>
        <w:br/>
        <w:t xml:space="preserve">        remaining -= amount</w:t>
        <w:br/>
        <w:t xml:space="preserve">        weights[name] = amount / total_new if amount &gt; 1e-6 else 0.0</w:t>
        <w:br/>
      </w:r>
    </w:p>
    <w:p>
      <w:r>
        <w:rPr>
          <w:b w:val="0"/>
          <w:i w:val="0"/>
        </w:rPr>
        <w:t xml:space="preserve">同组位置缺失的项目获得相同的 </w:t>
      </w:r>
      <w:r>
        <w:rPr>
          <w:rFonts w:ascii="DejaVu Sans Mono" w:hAnsi="DejaVu Sans Mono"/>
          <w:b w:val="0"/>
          <w:i w:val="0"/>
          <w:sz w:val="17"/>
        </w:rPr>
        <w:t>weights</w:t>
      </w:r>
      <w:r>
        <w:rPr>
          <w:b w:val="0"/>
          <w:i w:val="0"/>
        </w:rPr>
        <w:t xml:space="preserve">。分配量超过 0.000001 MW 时，天气权重取 </w:t>
      </w:r>
      <w:r>
        <w:rPr>
          <w:rFonts w:ascii="DejaVu Sans Mono" w:hAnsi="DejaVu Sans Mono"/>
          <w:b w:val="0"/>
          <w:i w:val="0"/>
          <w:sz w:val="17"/>
        </w:rPr>
        <w:t>amount / total_new</w:t>
      </w:r>
      <w:r>
        <w:rPr>
          <w:b w:val="0"/>
          <w:i w:val="0"/>
        </w:rPr>
        <w:t>；较小分配量取零权重。字母排序和最后一点的余量确定浮点分配顺序，总运行容量为零时将第一代表点的权重设为 1。</w:t>
      </w:r>
    </w:p>
    <w:p>
      <w:r>
        <w:rPr>
          <w:b w:val="0"/>
          <w:i w:val="0"/>
        </w:rPr>
        <w:t xml:space="preserve">投运后，资产保留其 </w:t>
      </w:r>
      <w:r>
        <w:rPr>
          <w:rFonts w:ascii="DejaVu Sans Mono" w:hAnsi="DejaVu Sans Mono"/>
          <w:b w:val="0"/>
          <w:i w:val="0"/>
          <w:sz w:val="17"/>
        </w:rPr>
        <w:t>weather_source_weights</w:t>
      </w:r>
      <w:r>
        <w:rPr>
          <w:b w:val="0"/>
          <w:i w:val="0"/>
        </w:rPr>
        <w:t>。</w:t>
      </w:r>
      <w:r>
        <w:rPr>
          <w:rFonts w:ascii="DejaVu Sans Mono" w:hAnsi="DejaVu Sans Mono"/>
          <w:b w:val="0"/>
          <w:i w:val="0"/>
          <w:sz w:val="17"/>
        </w:rPr>
        <w:t>source_weights</w:t>
      </w:r>
      <w:r>
        <w:rPr>
          <w:b w:val="0"/>
          <w:i w:val="0"/>
        </w:rPr>
        <w:t xml:space="preserve"> 优先读取这一显式映射，再读取单一 </w:t>
      </w:r>
      <w:r>
        <w:rPr>
          <w:rFonts w:ascii="DejaVu Sans Mono" w:hAnsi="DejaVu Sans Mono"/>
          <w:b w:val="0"/>
          <w:i w:val="0"/>
          <w:sz w:val="17"/>
        </w:rPr>
        <w:t>weather_source_asset_id</w:t>
      </w:r>
      <w:r>
        <w:rPr>
          <w:b w:val="0"/>
          <w:i w:val="0"/>
        </w:rPr>
        <w:t xml:space="preserve">，随后依次按资产、指定机组、投资所有者、源代理和基础资产标识匹配。来源名称须对应同技术代表点，权重须为有限非负值，其和至多为 1 加 0.000000000001。若 </w:t>
      </w:r>
      <w:r>
        <w:rPr>
          <w:rFonts w:ascii="DejaVu Sans Mono" w:hAnsi="DejaVu Sans Mono"/>
          <w:b w:val="0"/>
          <w:i w:val="0"/>
          <w:sz w:val="17"/>
        </w:rPr>
        <w:t>deficit = 1.0 - sum(weights.values())</w:t>
      </w:r>
      <w:r>
        <w:rPr>
          <w:b w:val="0"/>
          <w:i w:val="0"/>
        </w:rPr>
        <w:t xml:space="preserve"> 超过该容差，</w:t>
      </w:r>
      <w:r>
        <w:rPr>
          <w:rFonts w:ascii="DejaVu Sans Mono" w:hAnsi="DejaVu Sans Mono"/>
          <w:b w:val="0"/>
          <w:i w:val="0"/>
          <w:sz w:val="17"/>
        </w:rPr>
        <w:t>cohort</w:t>
      </w:r>
      <w:r>
        <w:rPr>
          <w:b w:val="0"/>
          <w:i w:val="0"/>
        </w:rPr>
        <w:t xml:space="preserve"> 取正的有限 </w:t>
      </w:r>
      <w:r>
        <w:rPr>
          <w:rFonts w:ascii="DejaVu Sans Mono" w:hAnsi="DejaVu Sans Mono"/>
          <w:b w:val="0"/>
          <w:i w:val="0"/>
          <w:sz w:val="17"/>
        </w:rPr>
        <w:t>weather_​allocation_​cohort_​mw</w:t>
      </w:r>
      <w:r>
        <w:rPr>
          <w:b w:val="0"/>
          <w:i w:val="0"/>
        </w:rPr>
        <w:t>，</w:t>
      </w:r>
      <w:r>
        <w:rPr>
          <w:rFonts w:ascii="DejaVu Sans Mono" w:hAnsi="DejaVu Sans Mono"/>
          <w:b w:val="0"/>
          <w:i w:val="0"/>
          <w:sz w:val="17"/>
        </w:rPr>
        <w:t>skipped</w:t>
      </w:r>
      <w:r>
        <w:rPr>
          <w:b w:val="0"/>
          <w:i w:val="0"/>
        </w:rPr>
        <w:t xml:space="preserve"> 计数零权重；接收条件为 </w:t>
      </w:r>
      <w:r>
        <w:rPr>
          <w:rFonts w:ascii="DejaVu Sans Mono" w:hAnsi="DejaVu Sans Mono"/>
          <w:b w:val="0"/>
          <w:i w:val="0"/>
          <w:sz w:val="17"/>
        </w:rPr>
        <w:t>deficit &lt;= skipped * 1e-6 / cohort + 1e-12</w:t>
      </w:r>
      <w:r>
        <w:rPr>
          <w:b w:val="0"/>
          <w:i w:val="0"/>
        </w:rPr>
        <w:t>。</w:t>
      </w:r>
    </w:p>
    <w:p>
      <w:pPr>
        <w:keepNext/>
      </w:pPr>
      <w:r>
        <w:rPr>
          <w:b w:val="0"/>
          <w:i w:val="0"/>
        </w:rPr>
        <w:t>资产可用系数为各来源曲线的加权和。</w:t>
      </w:r>
      <w:r>
        <w:rPr>
          <w:rFonts w:ascii="DejaVu Sans Mono" w:hAnsi="DejaVu Sans Mono"/>
          <w:b w:val="0"/>
          <w:i w:val="0"/>
          <w:sz w:val="17"/>
        </w:rPr>
        <w:t>_map_lineages</w:t>
      </w:r>
      <w:r>
        <w:rPr>
          <w:b w:val="0"/>
          <w:i w:val="0"/>
        </w:rPr>
        <w:t xml:space="preserve"> 对每个来源的 </w:t>
      </w:r>
      <w:r>
        <w:rPr>
          <w:rFonts w:ascii="DejaVu Sans Mono" w:hAnsi="DejaVu Sans Mono"/>
          <w:b w:val="0"/>
          <w:i w:val="0"/>
          <w:sz w:val="17"/>
        </w:rPr>
        <w:t>values</w:t>
      </w:r>
      <w:r>
        <w:rPr>
          <w:b w:val="0"/>
          <w:i w:val="0"/>
        </w:rPr>
        <w:t xml:space="preserve"> 应用 </w:t>
      </w:r>
      <w:r>
        <w:rPr>
          <w:rFonts w:ascii="DejaVu Sans Mono" w:hAnsi="DejaVu Sans Mono"/>
          <w:b w:val="0"/>
          <w:i w:val="0"/>
          <w:sz w:val="17"/>
        </w:rPr>
        <w:t>weights</w:t>
      </w:r>
      <w:r>
        <w:rPr>
          <w:b w:val="0"/>
          <w:i w:val="0"/>
        </w:rPr>
        <w:t xml:space="preserve">；下标 </w:t>
      </w:r>
      <w:r>
        <w:rPr>
          <w:rFonts w:ascii="DejaVu Sans Mono" w:hAnsi="DejaVu Sans Mono"/>
          <w:b w:val="0"/>
          <w:i w:val="0"/>
          <w:sz w:val="17"/>
        </w:rPr>
        <w:t>name</w:t>
      </w:r>
      <w:r>
        <w:rPr>
          <w:b w:val="0"/>
          <w:i w:val="0"/>
        </w:rPr>
        <w:t xml:space="preserve"> 用于选择对应来源数组，所得 </w:t>
      </w:r>
      <w:r>
        <w:rPr>
          <w:rFonts w:ascii="DejaVu Sans Mono" w:hAnsi="DejaVu Sans Mono"/>
          <w:b w:val="0"/>
          <w:i w:val="0"/>
          <w:sz w:val="17"/>
        </w:rPr>
        <w:t>combined</w:t>
      </w:r>
      <w:r>
        <w:rPr>
          <w:b w:val="0"/>
          <w:i w:val="0"/>
        </w:rPr>
        <w:t xml:space="preserve"> 为</w:t>
      </w:r>
    </w:p>
    <w:p>
      <w:pPr>
        <w:spacing w:after="160"/>
        <w:jc w:val="center"/>
      </w:pPr>
      <w:r>
        <w:drawing>
          <wp:inline xmlns:a="http://schemas.openxmlformats.org/drawingml/2006/main" xmlns:pic="http://schemas.openxmlformats.org/drawingml/2006/picture">
            <wp:extent cx="3718407" cy="363385"/>
            <wp:docPr id="27" name="Picture 27"/>
            <wp:cNvGraphicFramePr>
              <a:graphicFrameLocks noChangeAspect="1"/>
            </wp:cNvGraphicFramePr>
            <a:graphic>
              <a:graphicData uri="http://schemas.openxmlformats.org/drawingml/2006/picture">
                <pic:pic>
                  <pic:nvPicPr>
                    <pic:cNvPr id="0" name="eq-027.png"/>
                    <pic:cNvPicPr/>
                  </pic:nvPicPr>
                  <pic:blipFill>
                    <a:blip r:embed="rId37"/>
                    <a:stretch>
                      <a:fillRect/>
                    </a:stretch>
                  </pic:blipFill>
                  <pic:spPr>
                    <a:xfrm>
                      <a:off x="0" y="0"/>
                      <a:ext cx="3718407" cy="363385"/>
                    </a:xfrm>
                    <a:prstGeom prst="rect"/>
                  </pic:spPr>
                </pic:pic>
              </a:graphicData>
            </a:graphic>
          </wp:inline>
        </w:drawing>
      </w:r>
    </w:p>
    <w:p>
      <w:r>
        <w:rPr>
          <w:b w:val="0"/>
          <w:i w:val="0"/>
        </w:rPr>
        <w:t>分区分配在保留天气曲线的同时拆分资产物理容量。</w:t>
      </w:r>
      <w:r>
        <w:rPr>
          <w:rFonts w:ascii="DejaVu Sans Mono" w:hAnsi="DejaVu Sans Mono"/>
          <w:b w:val="0"/>
          <w:i w:val="0"/>
          <w:sz w:val="17"/>
        </w:rPr>
        <w:t>StagedBidAtCostPSM</w:t>
      </w:r>
      <w:r>
        <w:rPr>
          <w:b w:val="0"/>
          <w:i w:val="0"/>
        </w:rPr>
        <w:t xml:space="preserve"> 将 </w:t>
      </w:r>
      <w:r>
        <w:rPr>
          <w:rFonts w:ascii="DejaVu Sans Mono" w:hAnsi="DejaVu Sans Mono"/>
          <w:b w:val="0"/>
          <w:i w:val="0"/>
          <w:sz w:val="17"/>
        </w:rPr>
        <w:t>capacity_mw</w:t>
      </w:r>
      <w:r>
        <w:rPr>
          <w:b w:val="0"/>
          <w:i w:val="0"/>
        </w:rPr>
        <w:t xml:space="preserve"> 乘以各区 </w:t>
      </w:r>
      <w:r>
        <w:rPr>
          <w:rFonts w:ascii="DejaVu Sans Mono" w:hAnsi="DejaVu Sans Mono"/>
          <w:b w:val="0"/>
          <w:i w:val="0"/>
          <w:sz w:val="17"/>
        </w:rPr>
        <w:t>share</w:t>
      </w:r>
      <w:r>
        <w:rPr>
          <w:b w:val="0"/>
          <w:i w:val="0"/>
        </w:rPr>
        <w:t xml:space="preserve">，份额之和为 1；储能的 </w:t>
      </w:r>
      <w:r>
        <w:rPr>
          <w:rFonts w:ascii="DejaVu Sans Mono" w:hAnsi="DejaVu Sans Mono"/>
          <w:b w:val="0"/>
          <w:i w:val="0"/>
          <w:sz w:val="17"/>
        </w:rPr>
        <w:t>charge_power_mw</w:t>
      </w:r>
      <w:r>
        <w:rPr>
          <w:b w:val="0"/>
          <w:i w:val="0"/>
        </w:rPr>
        <w:t>、</w:t>
      </w:r>
      <w:r>
        <w:rPr>
          <w:rFonts w:ascii="DejaVu Sans Mono" w:hAnsi="DejaVu Sans Mono"/>
          <w:b w:val="0"/>
          <w:i w:val="0"/>
          <w:sz w:val="17"/>
        </w:rPr>
        <w:t>discharge_power_mw</w:t>
      </w:r>
      <w:r>
        <w:rPr>
          <w:b w:val="0"/>
          <w:i w:val="0"/>
        </w:rPr>
        <w:t>、</w:t>
      </w:r>
      <w:r>
        <w:rPr>
          <w:rFonts w:ascii="DejaVu Sans Mono" w:hAnsi="DejaVu Sans Mono"/>
          <w:b w:val="0"/>
          <w:i w:val="0"/>
          <w:sz w:val="17"/>
        </w:rPr>
        <w:t>energy_capacity_mwh</w:t>
      </w:r>
      <w:r>
        <w:rPr>
          <w:b w:val="0"/>
          <w:i w:val="0"/>
        </w:rPr>
        <w:t>、</w:t>
      </w:r>
      <w:r>
        <w:rPr>
          <w:rFonts w:ascii="DejaVu Sans Mono" w:hAnsi="DejaVu Sans Mono"/>
          <w:b w:val="0"/>
          <w:i w:val="0"/>
          <w:sz w:val="17"/>
        </w:rPr>
        <w:t>initial_soc_mwh</w:t>
      </w:r>
      <w:r>
        <w:rPr>
          <w:b w:val="0"/>
          <w:i w:val="0"/>
        </w:rPr>
        <w:t xml:space="preserve"> 也乘以同一份额。第 7 章定义资产至区域的映射与网络约束。</w:t>
      </w:r>
    </w:p>
    <w:p>
      <w:pPr>
        <w:keepNext/>
      </w:pPr>
      <w:r>
        <w:rPr>
          <w:b w:val="0"/>
          <w:i w:val="0"/>
        </w:rPr>
        <w:t xml:space="preserve">可选接口 </w:t>
      </w:r>
      <w:r>
        <w:rPr>
          <w:rFonts w:ascii="DejaVu Sans Mono" w:hAnsi="DejaVu Sans Mono"/>
          <w:b w:val="0"/>
          <w:i w:val="0"/>
          <w:sz w:val="17"/>
        </w:rPr>
        <w:t>REPDERA5AggregatedWeather.build</w:t>
      </w:r>
      <w:r>
        <w:rPr>
          <w:b w:val="0"/>
          <w:i w:val="0"/>
        </w:rPr>
        <w:t xml:space="preserve"> 在各所有者—技术—区域组内合并调用方提供的项目曲线。对分配记录 </w:t>
      </w:r>
      <w:r>
        <w:rPr>
          <w:rFonts w:ascii="DejaVu Sans Mono" w:hAnsi="DejaVu Sans Mono"/>
          <w:b w:val="0"/>
          <w:i w:val="0"/>
          <w:sz w:val="17"/>
        </w:rPr>
        <w:t>rows</w:t>
      </w:r>
      <w:r>
        <w:rPr>
          <w:b w:val="0"/>
          <w:i w:val="0"/>
        </w:rPr>
        <w:t>，</w:t>
      </w:r>
      <w:r>
        <w:rPr>
          <w:rFonts w:ascii="DejaVu Sans Mono" w:hAnsi="DejaVu Sans Mono"/>
          <w:b w:val="0"/>
          <w:i w:val="0"/>
          <w:sz w:val="17"/>
        </w:rPr>
        <w:t>total</w:t>
      </w:r>
      <w:r>
        <w:rPr>
          <w:b w:val="0"/>
          <w:i w:val="0"/>
        </w:rPr>
        <w:t xml:space="preserve"> 为总 MW，</w:t>
      </w:r>
      <w:r>
        <w:rPr>
          <w:rFonts w:ascii="DejaVu Sans Mono" w:hAnsi="DejaVu Sans Mono"/>
          <w:b w:val="0"/>
          <w:i w:val="0"/>
          <w:sz w:val="17"/>
        </w:rPr>
        <w:t>values</w:t>
      </w:r>
      <w:r>
        <w:rPr>
          <w:b w:val="0"/>
          <w:i w:val="0"/>
        </w:rPr>
        <w:t xml:space="preserve"> 为项目无量纲曲线，</w:t>
      </w:r>
      <w:r>
        <w:rPr>
          <w:rFonts w:ascii="DejaVu Sans Mono" w:hAnsi="DejaVu Sans Mono"/>
          <w:b w:val="0"/>
          <w:i w:val="0"/>
          <w:sz w:val="17"/>
        </w:rPr>
        <w:t>weighted</w:t>
      </w:r>
      <w:r>
        <w:rPr>
          <w:b w:val="0"/>
          <w:i w:val="0"/>
        </w:rPr>
        <w:t xml:space="preserve"> 为该组曲线：</w:t>
      </w:r>
    </w:p>
    <w:p>
      <w:pPr>
        <w:spacing w:after="160"/>
        <w:jc w:val="center"/>
      </w:pPr>
      <w:r>
        <w:drawing>
          <wp:inline xmlns:a="http://schemas.openxmlformats.org/drawingml/2006/main" xmlns:pic="http://schemas.openxmlformats.org/drawingml/2006/picture">
            <wp:extent cx="4298441" cy="845970"/>
            <wp:docPr id="28" name="Picture 28"/>
            <wp:cNvGraphicFramePr>
              <a:graphicFrameLocks noChangeAspect="1"/>
            </wp:cNvGraphicFramePr>
            <a:graphic>
              <a:graphicData uri="http://schemas.openxmlformats.org/drawingml/2006/picture">
                <pic:pic>
                  <pic:nvPicPr>
                    <pic:cNvPr id="0" name="eq-028.png"/>
                    <pic:cNvPicPr/>
                  </pic:nvPicPr>
                  <pic:blipFill>
                    <a:blip r:embed="rId38"/>
                    <a:stretch>
                      <a:fillRect/>
                    </a:stretch>
                  </pic:blipFill>
                  <pic:spPr>
                    <a:xfrm>
                      <a:off x="0" y="0"/>
                      <a:ext cx="4298441" cy="845970"/>
                    </a:xfrm>
                    <a:prstGeom prst="rect"/>
                  </pic:spPr>
                </pic:pic>
              </a:graphicData>
            </a:graphic>
          </wp:inline>
        </w:drawing>
      </w:r>
    </w:p>
    <w:p>
      <w:r>
        <w:rPr>
          <w:b w:val="0"/>
          <w:i w:val="0"/>
        </w:rPr>
        <w:t xml:space="preserve">这一聚合要求项目曲线等长、全部有限且位于 [0,1]，并要求 </w:t>
      </w:r>
      <w:r>
        <w:rPr>
          <w:rFonts w:ascii="DejaVu Sans Mono" w:hAnsi="DejaVu Sans Mono"/>
          <w:b w:val="0"/>
          <w:i w:val="0"/>
          <w:sz w:val="17"/>
        </w:rPr>
        <w:t>total</w:t>
      </w:r>
      <w:r>
        <w:rPr>
          <w:b w:val="0"/>
          <w:i w:val="0"/>
        </w:rPr>
        <w:t xml:space="preserve"> 为正。</w:t>
      </w:r>
      <w:r>
        <w:rPr>
          <w:rFonts w:ascii="DejaVu Sans Mono" w:hAnsi="DejaVu Sans Mono"/>
          <w:b w:val="0"/>
          <w:i w:val="0"/>
          <w:sz w:val="17"/>
        </w:rPr>
        <w:t>weighted</w:t>
      </w:r>
      <w:r>
        <w:rPr>
          <w:b w:val="0"/>
          <w:i w:val="0"/>
        </w:rPr>
        <w:t xml:space="preserve"> 乘以总 MW 等于各项目可用功率之和。分区调度接口也可将代表曲线直接用于资产各区分配部分。</w:t>
      </w:r>
    </w:p>
    <w:p>
      <w:pPr>
        <w:pStyle w:val="Heading2"/>
      </w:pPr>
      <w:r>
        <w:rPr>
          <w:b w:val="0"/>
          <w:i w:val="0"/>
        </w:rPr>
        <w:t>技术平均投资曲线</w:t>
      </w:r>
    </w:p>
    <w:p>
      <w:r>
        <w:rPr>
          <w:b w:val="0"/>
          <w:i w:val="0"/>
        </w:rPr>
        <w:t xml:space="preserve">年度扩张为光伏、陆风和海风各使用一条技术平均曲线。输入将 2022 年 ERA5 数据与 </w:t>
      </w:r>
      <w:r>
        <w:rPr>
          <w:rFonts w:ascii="DejaVu Sans Mono" w:hAnsi="DejaVu Sans Mono"/>
          <w:b w:val="0"/>
          <w:i w:val="0"/>
          <w:sz w:val="17"/>
        </w:rPr>
        <w:t>sa.csv</w:t>
      </w:r>
      <w:r>
        <w:rPr>
          <w:b w:val="0"/>
          <w:i w:val="0"/>
        </w:rPr>
        <w:t>、</w:t>
      </w:r>
      <w:r>
        <w:rPr>
          <w:rFonts w:ascii="DejaVu Sans Mono" w:hAnsi="DejaVu Sans Mono"/>
          <w:b w:val="0"/>
          <w:i w:val="0"/>
          <w:sz w:val="17"/>
        </w:rPr>
        <w:t>wa.csv</w:t>
      </w:r>
      <w:r>
        <w:rPr>
          <w:b w:val="0"/>
          <w:i w:val="0"/>
        </w:rPr>
        <w:t>、</w:t>
      </w:r>
      <w:r>
        <w:rPr>
          <w:rFonts w:ascii="DejaVu Sans Mono" w:hAnsi="DejaVu Sans Mono"/>
          <w:b w:val="0"/>
          <w:i w:val="0"/>
          <w:sz w:val="17"/>
        </w:rPr>
        <w:t>we.csv</w:t>
      </w:r>
      <w:r>
        <w:rPr>
          <w:b w:val="0"/>
          <w:i w:val="0"/>
        </w:rPr>
        <w:t xml:space="preserve"> 中的机组及项目设定结合；每个 public2 文件包含 8,760 个小时值，声明 </w:t>
      </w:r>
      <w:r>
        <w:rPr>
          <w:rFonts w:ascii="DejaVu Sans Mono" w:hAnsi="DejaVu Sans Mono"/>
          <w:b w:val="0"/>
          <w:i w:val="0"/>
          <w:sz w:val="17"/>
        </w:rPr>
        <w:t>interval_minutes=60</w:t>
      </w:r>
      <w:r>
        <w:rPr>
          <w:b w:val="0"/>
          <w:i w:val="0"/>
        </w:rPr>
        <w:t>，各值按源行序用于连续两个半小时。</w:t>
      </w:r>
    </w:p>
    <w:p>
      <w:r>
        <w:rPr>
          <w:b w:val="0"/>
          <w:i w:val="0"/>
        </w:rPr>
        <w:t xml:space="preserve">得到的 </w:t>
      </w:r>
      <w:r>
        <w:rPr>
          <w:rFonts w:ascii="DejaVu Sans Mono" w:hAnsi="DejaVu Sans Mono"/>
          <w:b w:val="0"/>
          <w:i w:val="0"/>
          <w:sz w:val="17"/>
        </w:rPr>
        <w:t>availability</w:t>
      </w:r>
      <w:r>
        <w:rPr>
          <w:b w:val="0"/>
          <w:i w:val="0"/>
        </w:rPr>
        <w:t xml:space="preserve"> 为无量纲量，用于第 6 章的 </w:t>
      </w:r>
      <w:r>
        <w:rPr>
          <w:rFonts w:ascii="DejaVu Sans Mono" w:hAnsi="DejaVu Sans Mono"/>
          <w:b w:val="0"/>
          <w:i w:val="0"/>
          <w:sz w:val="17"/>
        </w:rPr>
        <w:t>peak</w:t>
      </w:r>
      <w:r>
        <w:rPr>
          <w:b w:val="0"/>
          <w:i w:val="0"/>
        </w:rPr>
        <w:t xml:space="preserve"> 和年度容量余量计算。投资规则直接使用这些曲线，调度可用出力则采用上文的站点采样、时间分配、转换与损耗步骤。</w:t>
      </w:r>
    </w:p>
    <w:p>
      <w:pPr>
        <w:pStyle w:val="Heading1"/>
      </w:pPr>
      <w:r>
        <w:rPr>
          <w:b w:val="0"/>
          <w:i w:val="0"/>
        </w:rPr>
        <w:t>4 运行与储能</w:t>
      </w:r>
    </w:p>
    <w:p>
      <w:r>
        <w:rPr>
          <w:b w:val="0"/>
          <w:i w:val="0"/>
        </w:rPr>
        <w:t>VALUE 按半小时时段计算需求与供应，发电、进口、出口及储能受各自物理容量约束。本章给出运行时钟、分阶段市场出清与储能成本计算。第 5 章说明全国 Native 调度算法，第 7 章加入网络约束，第 6 章将年度运行结果接入投资决策。</w:t>
      </w:r>
    </w:p>
    <w:p>
      <w:pPr>
        <w:pStyle w:val="Heading2"/>
      </w:pPr>
      <w:r>
        <w:rPr>
          <w:b w:val="0"/>
          <w:i w:val="0"/>
        </w:rPr>
        <w:t>运行时钟与储能初始状态</w:t>
      </w:r>
    </w:p>
    <w:p>
      <w:pPr>
        <w:keepNext/>
      </w:pPr>
      <w:r>
        <w:rPr>
          <w:b w:val="0"/>
          <w:i w:val="0"/>
        </w:rPr>
        <w:t>模型年采用 UTC 时钟，包含 365 天、17,520 个半小时时段。</w:t>
      </w:r>
      <w:r>
        <w:rPr>
          <w:rFonts w:ascii="DejaVu Sans Mono" w:hAnsi="DejaVu Sans Mono"/>
          <w:b w:val="0"/>
          <w:i w:val="0"/>
          <w:sz w:val="17"/>
        </w:rPr>
        <w:t>period_start_utc</w:t>
      </w:r>
      <w:r>
        <w:rPr>
          <w:b w:val="0"/>
          <w:i w:val="0"/>
        </w:rPr>
        <w:t xml:space="preserve"> 将从零开始的 </w:t>
      </w:r>
      <w:r>
        <w:rPr>
          <w:rFonts w:ascii="DejaVu Sans Mono" w:hAnsi="DejaVu Sans Mono"/>
          <w:b w:val="0"/>
          <w:i w:val="0"/>
          <w:sz w:val="17"/>
        </w:rPr>
        <w:t>period</w:t>
      </w:r>
      <w:r>
        <w:rPr>
          <w:b w:val="0"/>
          <w:i w:val="0"/>
        </w:rPr>
        <w:t xml:space="preserve"> 分解为日序号 </w:t>
      </w:r>
      <w:r>
        <w:rPr>
          <w:rFonts w:ascii="DejaVu Sans Mono" w:hAnsi="DejaVu Sans Mono"/>
          <w:b w:val="0"/>
          <w:i w:val="0"/>
          <w:sz w:val="17"/>
        </w:rPr>
        <w:t>day_index</w:t>
      </w:r>
      <w:r>
        <w:rPr>
          <w:b w:val="0"/>
          <w:i w:val="0"/>
        </w:rPr>
        <w:t xml:space="preserve"> 和日内序号 </w:t>
      </w:r>
      <w:r>
        <w:rPr>
          <w:rFonts w:ascii="DejaVu Sans Mono" w:hAnsi="DejaVu Sans Mono"/>
          <w:b w:val="0"/>
          <w:i w:val="0"/>
          <w:sz w:val="17"/>
        </w:rPr>
        <w:t>offset</w:t>
      </w:r>
      <w:r>
        <w:rPr>
          <w:b w:val="0"/>
          <w:i w:val="0"/>
        </w:rPr>
        <w:t xml:space="preserve">，再将 </w:t>
      </w:r>
      <w:r>
        <w:rPr>
          <w:rFonts w:ascii="DejaVu Sans Mono" w:hAnsi="DejaVu Sans Mono"/>
          <w:b w:val="0"/>
          <w:i w:val="0"/>
          <w:sz w:val="17"/>
        </w:rPr>
        <w:t>offset×period_hours</w:t>
      </w:r>
      <w:r>
        <w:rPr>
          <w:b w:val="0"/>
          <w:i w:val="0"/>
        </w:rPr>
        <w:t xml:space="preserve"> 小时加到 </w:t>
      </w:r>
      <w:r>
        <w:rPr>
          <w:rFonts w:ascii="DejaVu Sans Mono" w:hAnsi="DejaVu Sans Mono"/>
          <w:b w:val="0"/>
          <w:i w:val="0"/>
          <w:sz w:val="17"/>
        </w:rPr>
        <w:t>model_day</w:t>
      </w:r>
      <w:r>
        <w:rPr>
          <w:b w:val="0"/>
          <w:i w:val="0"/>
        </w:rPr>
        <w:t xml:space="preserve"> 给出的日期上。</w:t>
      </w:r>
      <w:r>
        <w:rPr>
          <w:rFonts w:ascii="DejaVu Sans Mono" w:hAnsi="DejaVu Sans Mono"/>
          <w:b w:val="0"/>
          <w:i w:val="0"/>
          <w:sz w:val="17"/>
        </w:rPr>
        <w:t>period_hours=0.5</w:t>
      </w:r>
      <w:r>
        <w:rPr>
          <w:b w:val="0"/>
          <w:i w:val="0"/>
        </w:rPr>
        <w:t xml:space="preserve"> 时，计算为：</w:t>
      </w:r>
    </w:p>
    <w:p>
      <w:pPr>
        <w:spacing w:after="160"/>
        <w:jc w:val="center"/>
      </w:pPr>
      <w:r>
        <w:drawing>
          <wp:inline xmlns:a="http://schemas.openxmlformats.org/drawingml/2006/main" xmlns:pic="http://schemas.openxmlformats.org/drawingml/2006/picture">
            <wp:extent cx="4243654" cy="413848"/>
            <wp:docPr id="29" name="Picture 29"/>
            <wp:cNvGraphicFramePr>
              <a:graphicFrameLocks noChangeAspect="1"/>
            </wp:cNvGraphicFramePr>
            <a:graphic>
              <a:graphicData uri="http://schemas.openxmlformats.org/drawingml/2006/picture">
                <pic:pic>
                  <pic:nvPicPr>
                    <pic:cNvPr id="0" name="eq-029.png"/>
                    <pic:cNvPicPr/>
                  </pic:nvPicPr>
                  <pic:blipFill>
                    <a:blip r:embed="rId39"/>
                    <a:stretch>
                      <a:fillRect/>
                    </a:stretch>
                  </pic:blipFill>
                  <pic:spPr>
                    <a:xfrm>
                      <a:off x="0" y="0"/>
                      <a:ext cx="4243654" cy="413848"/>
                    </a:xfrm>
                    <a:prstGeom prst="rect"/>
                  </pic:spPr>
                </pic:pic>
              </a:graphicData>
            </a:graphic>
          </wp:inline>
        </w:drawing>
      </w:r>
    </w:p>
    <w:p>
      <w:r>
        <w:rPr>
          <w:rFonts w:ascii="DejaVu Sans Mono" w:hAnsi="DejaVu Sans Mono"/>
          <w:b w:val="0"/>
          <w:i w:val="0"/>
          <w:sz w:val="17"/>
        </w:rPr>
        <w:t>model_day</w:t>
      </w:r>
      <w:r>
        <w:rPr>
          <w:b w:val="0"/>
          <w:i w:val="0"/>
        </w:rPr>
        <w:t xml:space="preserve"> 跳过 2 月 29 日。源数据在调度前对齐到这一时钟，声明为 Europe/London 的记录逐行转换为 UTC。输出时间戳采用带 </w:t>
      </w:r>
      <w:r>
        <w:rPr>
          <w:rFonts w:ascii="DejaVu Sans Mono" w:hAnsi="DejaVu Sans Mono"/>
          <w:b w:val="0"/>
          <w:i w:val="0"/>
          <w:sz w:val="17"/>
        </w:rPr>
        <w:t>Z</w:t>
      </w:r>
      <w:r>
        <w:rPr>
          <w:b w:val="0"/>
          <w:i w:val="0"/>
        </w:rPr>
        <w:t xml:space="preserve"> 的 ISO 8601 格式。时段电量以 MWh 计，额定功率以 MW 计，库存以 MWh 计。</w:t>
      </w:r>
    </w:p>
    <w:p>
      <w:r>
        <w:rPr>
          <w:b w:val="0"/>
          <w:i w:val="0"/>
        </w:rPr>
        <w:t xml:space="preserve">储能在每个模型年开始时具有规定的初始库存。Native 每年创建储能代理时将 </w:t>
      </w:r>
      <w:r>
        <w:rPr>
          <w:rFonts w:ascii="DejaVu Sans Mono" w:hAnsi="DejaVu Sans Mono"/>
          <w:b w:val="0"/>
          <w:i w:val="0"/>
          <w:sz w:val="17"/>
        </w:rPr>
        <w:t>stored_energy</w:t>
      </w:r>
      <w:r>
        <w:rPr>
          <w:b w:val="0"/>
          <w:i w:val="0"/>
        </w:rPr>
        <w:t xml:space="preserve"> 设为空，第 5 章给出年内批次更新。分阶段、LP 与 DC 调度采用的逐时序输入取 </w:t>
      </w:r>
      <w:r>
        <w:rPr>
          <w:rFonts w:ascii="DejaVu Sans Mono" w:hAnsi="DejaVu Sans Mono"/>
          <w:b w:val="0"/>
          <w:i w:val="0"/>
          <w:sz w:val="17"/>
        </w:rPr>
        <w:t>initial_​soc_​mwh=0.5×energy_​capacity_​mwh</w:t>
      </w:r>
      <w:r>
        <w:rPr>
          <w:b w:val="0"/>
          <w:i w:val="0"/>
        </w:rPr>
        <w:t>。这些初值逐年应用；上一年的售电量与持有时间观察值保留，用于下一年的储能成本准备。</w:t>
      </w:r>
    </w:p>
    <w:p>
      <w:pPr>
        <w:pStyle w:val="Heading2"/>
      </w:pPr>
      <w:r>
        <w:rPr>
          <w:b w:val="0"/>
          <w:i w:val="0"/>
        </w:rPr>
        <w:t>提前市场与平衡调度</w:t>
      </w:r>
    </w:p>
    <w:p>
      <w:pPr>
        <w:keepNext/>
      </w:pPr>
      <w:r>
        <w:rPr>
          <w:b w:val="0"/>
          <w:i w:val="0"/>
        </w:rPr>
        <w:t xml:space="preserve">分段 PSM 先满足预测需求，再针对实际需求进行平衡。对每个非储能 </w:t>
      </w:r>
      <w:r>
        <w:rPr>
          <w:rFonts w:ascii="DejaVu Sans Mono" w:hAnsi="DejaVu Sans Mono"/>
          <w:b w:val="0"/>
          <w:i w:val="0"/>
          <w:sz w:val="17"/>
        </w:rPr>
        <w:t>resource</w:t>
      </w:r>
      <w:r>
        <w:rPr>
          <w:b w:val="0"/>
          <w:i w:val="0"/>
        </w:rPr>
        <w:t>，</w:t>
      </w:r>
      <w:r>
        <w:rPr>
          <w:rFonts w:ascii="DejaVu Sans Mono" w:hAnsi="DejaVu Sans Mono"/>
          <w:b w:val="0"/>
          <w:i w:val="0"/>
          <w:sz w:val="17"/>
        </w:rPr>
        <w:t>_ahead_offers</w:t>
      </w:r>
      <w:r>
        <w:rPr>
          <w:b w:val="0"/>
          <w:i w:val="0"/>
        </w:rPr>
        <w:t xml:space="preserve"> 读取当期可用率与边际成本。</w:t>
      </w:r>
      <w:r>
        <w:rPr>
          <w:rFonts w:ascii="DejaVu Sans Mono" w:hAnsi="DejaVu Sans Mono"/>
          <w:b w:val="0"/>
          <w:i w:val="0"/>
          <w:sz w:val="17"/>
        </w:rPr>
        <w:t>availability</w:t>
      </w:r>
      <w:r>
        <w:rPr>
          <w:b w:val="0"/>
          <w:i w:val="0"/>
        </w:rPr>
        <w:t xml:space="preserve"> 为输入可用率与零的较大值；</w:t>
      </w:r>
      <w:r>
        <w:rPr>
          <w:rFonts w:ascii="DejaVu Sans Mono" w:hAnsi="DejaVu Sans Mono"/>
          <w:b w:val="0"/>
          <w:i w:val="0"/>
          <w:sz w:val="17"/>
        </w:rPr>
        <w:t>physical_cost</w:t>
      </w:r>
      <w:r>
        <w:rPr>
          <w:b w:val="0"/>
          <w:i w:val="0"/>
        </w:rPr>
        <w:t xml:space="preserve"> 优先采用逐时段成本，其次采用恒定边际成本。</w:t>
      </w:r>
      <w:r>
        <w:rPr>
          <w:rFonts w:ascii="DejaVu Sans Mono" w:hAnsi="DejaVu Sans Mono"/>
          <w:b w:val="0"/>
          <w:i w:val="0"/>
          <w:sz w:val="17"/>
        </w:rPr>
        <w:t>multiplier</w:t>
      </w:r>
      <w:r>
        <w:rPr>
          <w:b w:val="0"/>
          <w:i w:val="0"/>
        </w:rPr>
        <w:t xml:space="preserve"> 来自 </w:t>
      </w:r>
      <w:r>
        <w:rPr>
          <w:rFonts w:ascii="DejaVu Sans Mono" w:hAnsi="DejaVu Sans Mono"/>
          <w:b w:val="0"/>
          <w:i w:val="0"/>
          <w:sz w:val="17"/>
        </w:rPr>
        <w:t>market.bid_multiplier</w:t>
      </w:r>
      <w:r>
        <w:rPr>
          <w:b w:val="0"/>
          <w:i w:val="0"/>
        </w:rPr>
        <w:t>，默认值为 1。可报价电量与价格为：</w:t>
      </w:r>
    </w:p>
    <w:p>
      <w:pPr>
        <w:spacing w:after="160"/>
        <w:jc w:val="center"/>
      </w:pPr>
      <w:r>
        <w:drawing>
          <wp:inline xmlns:a="http://schemas.openxmlformats.org/drawingml/2006/main" xmlns:pic="http://schemas.openxmlformats.org/drawingml/2006/picture">
            <wp:extent cx="4542282" cy="621792"/>
            <wp:docPr id="30" name="Picture 30"/>
            <wp:cNvGraphicFramePr>
              <a:graphicFrameLocks noChangeAspect="1"/>
            </wp:cNvGraphicFramePr>
            <a:graphic>
              <a:graphicData uri="http://schemas.openxmlformats.org/drawingml/2006/picture">
                <pic:pic>
                  <pic:nvPicPr>
                    <pic:cNvPr id="0" name="eq-030.png"/>
                    <pic:cNvPicPr/>
                  </pic:nvPicPr>
                  <pic:blipFill>
                    <a:blip r:embed="rId40"/>
                    <a:stretch>
                      <a:fillRect/>
                    </a:stretch>
                  </pic:blipFill>
                  <pic:spPr>
                    <a:xfrm>
                      <a:off x="0" y="0"/>
                      <a:ext cx="4542282" cy="621792"/>
                    </a:xfrm>
                    <a:prstGeom prst="rect"/>
                  </pic:spPr>
                </pic:pic>
              </a:graphicData>
            </a:graphic>
          </wp:inline>
        </w:drawing>
      </w:r>
    </w:p>
    <w:p>
      <w:r>
        <w:rPr>
          <w:b w:val="0"/>
          <w:i w:val="0"/>
        </w:rPr>
        <w:t>储能报价同时受放电功率和库存约束。</w:t>
      </w:r>
      <w:r>
        <w:rPr>
          <w:rFonts w:ascii="DejaVu Sans Mono" w:hAnsi="DejaVu Sans Mono"/>
          <w:b w:val="0"/>
          <w:i w:val="0"/>
          <w:sz w:val="17"/>
        </w:rPr>
        <w:t>soc[resource.asset_id]</w:t>
      </w:r>
      <w:r>
        <w:rPr>
          <w:b w:val="0"/>
          <w:i w:val="0"/>
        </w:rPr>
        <w:t xml:space="preserve"> 为时段开始时的储能侧库存，</w:t>
      </w:r>
      <w:r>
        <w:rPr>
          <w:rFonts w:ascii="DejaVu Sans Mono" w:hAnsi="DejaVu Sans Mono"/>
          <w:b w:val="0"/>
          <w:i w:val="0"/>
          <w:sz w:val="17"/>
        </w:rPr>
        <w:t>discharge_efficiency</w:t>
      </w:r>
      <w:r>
        <w:rPr>
          <w:b w:val="0"/>
          <w:i w:val="0"/>
        </w:rPr>
        <w:t xml:space="preserve"> 将其换算为输出电量：</w:t>
      </w:r>
    </w:p>
    <w:p>
      <w:pPr>
        <w:keepLines/>
        <w:spacing w:line="276" w:lineRule="auto" w:after="160"/>
      </w:pPr>
      <w:r>
        <w:rPr>
          <w:rFonts w:ascii="DejaVu Sans Mono" w:hAnsi="DejaVu Sans Mono"/>
          <w:b w:val="0"/>
          <w:i w:val="0"/>
          <w:sz w:val="17"/>
        </w:rPr>
        <w:t>available_mwh = min(</w:t>
        <w:br/>
        <w:t xml:space="preserve">    resource.discharge_​power_​mw * model_​input.period_​hours,</w:t>
        <w:br/>
        <w:t xml:space="preserve">    soc[resource.asset_id] * resource.discharge_​efficiency</w:t>
        <w:br/>
        <w:t>)</w:t>
        <w:br/>
      </w:r>
    </w:p>
    <w:p>
      <w:pPr>
        <w:keepNext/>
      </w:pPr>
      <w:r>
        <w:rPr>
          <w:rFonts w:ascii="DejaVu Sans Mono" w:hAnsi="DejaVu Sans Mono"/>
          <w:b w:val="0"/>
          <w:i w:val="0"/>
          <w:sz w:val="17"/>
        </w:rPr>
        <w:t>clear_ahead</w:t>
      </w:r>
      <w:r>
        <w:rPr>
          <w:b w:val="0"/>
          <w:i w:val="0"/>
        </w:rPr>
        <w:t xml:space="preserve"> 按 </w:t>
      </w:r>
      <w:r>
        <w:rPr>
          <w:rFonts w:ascii="DejaVu Sans Mono" w:hAnsi="DejaVu Sans Mono"/>
          <w:b w:val="0"/>
          <w:i w:val="0"/>
          <w:sz w:val="17"/>
        </w:rPr>
        <w:t>price_gbp_per_mwh</w:t>
      </w:r>
      <w:r>
        <w:rPr>
          <w:b w:val="0"/>
          <w:i w:val="0"/>
        </w:rPr>
        <w:t>、</w:t>
      </w:r>
      <w:r>
        <w:rPr>
          <w:rFonts w:ascii="DejaVu Sans Mono" w:hAnsi="DejaVu Sans Mono"/>
          <w:b w:val="0"/>
          <w:i w:val="0"/>
          <w:sz w:val="17"/>
        </w:rPr>
        <w:t>offer_id</w:t>
      </w:r>
      <w:r>
        <w:rPr>
          <w:b w:val="0"/>
          <w:i w:val="0"/>
        </w:rPr>
        <w:t xml:space="preserve"> 依次排序报价。初始 </w:t>
      </w:r>
      <w:r>
        <w:rPr>
          <w:rFonts w:ascii="DejaVu Sans Mono" w:hAnsi="DejaVu Sans Mono"/>
          <w:b w:val="0"/>
          <w:i w:val="0"/>
          <w:sz w:val="17"/>
        </w:rPr>
        <w:t>remaining=forecast_​demand_​mwh</w:t>
      </w:r>
      <w:r>
        <w:rPr>
          <w:b w:val="0"/>
          <w:i w:val="0"/>
        </w:rPr>
        <w:t xml:space="preserve">，每次接纳剩余需求与报价电量中的较小值，再扣减剩余需求。最后接纳的报价成为 </w:t>
      </w:r>
      <w:r>
        <w:rPr>
          <w:rFonts w:ascii="DejaVu Sans Mono" w:hAnsi="DejaVu Sans Mono"/>
          <w:b w:val="0"/>
          <w:i w:val="0"/>
          <w:sz w:val="17"/>
        </w:rPr>
        <w:t>clearing_​price_​gbp_​per_​mwh</w:t>
      </w:r>
      <w:r>
        <w:rPr>
          <w:b w:val="0"/>
          <w:i w:val="0"/>
        </w:rPr>
        <w:t xml:space="preserve">，全部接纳电量按该价格结算。剩余需求达到 10⁻¹² MWh 时结束出清；接纳电量为零时，出清价为零，预测缺口记入 </w:t>
      </w:r>
      <w:r>
        <w:rPr>
          <w:rFonts w:ascii="DejaVu Sans Mono" w:hAnsi="DejaVu Sans Mono"/>
          <w:b w:val="0"/>
          <w:i w:val="0"/>
          <w:sz w:val="17"/>
        </w:rPr>
        <w:t>unserved_forecast_mwh</w:t>
      </w:r>
      <w:r>
        <w:rPr>
          <w:b w:val="0"/>
          <w:i w:val="0"/>
        </w:rPr>
        <w:t>。</w:t>
      </w:r>
    </w:p>
    <w:p>
      <w:pPr>
        <w:spacing w:after="160"/>
        <w:jc w:val="center"/>
      </w:pPr>
      <w:r>
        <w:drawing>
          <wp:inline xmlns:a="http://schemas.openxmlformats.org/drawingml/2006/main" xmlns:pic="http://schemas.openxmlformats.org/drawingml/2006/picture">
            <wp:extent cx="6217920" cy="167029"/>
            <wp:docPr id="31" name="Picture 31"/>
            <wp:cNvGraphicFramePr>
              <a:graphicFrameLocks noChangeAspect="1"/>
            </wp:cNvGraphicFramePr>
            <a:graphic>
              <a:graphicData uri="http://schemas.openxmlformats.org/drawingml/2006/picture">
                <pic:pic>
                  <pic:nvPicPr>
                    <pic:cNvPr id="0" name="eq-031.png"/>
                    <pic:cNvPicPr/>
                  </pic:nvPicPr>
                  <pic:blipFill>
                    <a:blip r:embed="rId41"/>
                    <a:stretch>
                      <a:fillRect/>
                    </a:stretch>
                  </pic:blipFill>
                  <pic:spPr>
                    <a:xfrm>
                      <a:off x="0" y="0"/>
                      <a:ext cx="6217920" cy="167029"/>
                    </a:xfrm>
                    <a:prstGeom prst="rect"/>
                  </pic:spPr>
                </pic:pic>
              </a:graphicData>
            </a:graphic>
          </wp:inline>
        </w:drawing>
      </w:r>
    </w:p>
    <w:p>
      <w:r>
        <w:rPr>
          <w:b w:val="0"/>
          <w:i w:val="0"/>
        </w:rPr>
        <w:t xml:space="preserve">平衡调度处理实际需求与提前计划之间的差额。在 </w:t>
      </w:r>
      <w:r>
        <w:rPr>
          <w:rFonts w:ascii="DejaVu Sans Mono" w:hAnsi="DejaVu Sans Mono"/>
          <w:b w:val="0"/>
          <w:i w:val="0"/>
          <w:sz w:val="17"/>
        </w:rPr>
        <w:t>CopperplateBalancing.clear</w:t>
      </w:r>
      <w:r>
        <w:rPr>
          <w:b w:val="0"/>
          <w:i w:val="0"/>
        </w:rPr>
        <w:t xml:space="preserve"> 中，</w:t>
      </w:r>
      <w:r>
        <w:rPr>
          <w:rFonts w:ascii="DejaVu Sans Mono" w:hAnsi="DejaVu Sans Mono"/>
          <w:b w:val="0"/>
          <w:i w:val="0"/>
          <w:sz w:val="17"/>
        </w:rPr>
        <w:t>final_dispatch</w:t>
      </w:r>
      <w:r>
        <w:rPr>
          <w:b w:val="0"/>
          <w:i w:val="0"/>
        </w:rPr>
        <w:t xml:space="preserve"> 初始取 </w:t>
      </w:r>
      <w:r>
        <w:rPr>
          <w:rFonts w:ascii="DejaVu Sans Mono" w:hAnsi="DejaVu Sans Mono"/>
          <w:b w:val="0"/>
          <w:i w:val="0"/>
          <w:sz w:val="17"/>
        </w:rPr>
        <w:t>schedule_mwh_by_asset</w:t>
      </w:r>
      <w:r>
        <w:rPr>
          <w:b w:val="0"/>
          <w:i w:val="0"/>
        </w:rPr>
        <w:t>，</w:t>
      </w:r>
      <w:r>
        <w:rPr>
          <w:rFonts w:ascii="DejaVu Sans Mono" w:hAnsi="DejaVu Sans Mono"/>
          <w:b w:val="0"/>
          <w:i w:val="0"/>
          <w:sz w:val="17"/>
        </w:rPr>
        <w:t>gap_​mwh=real_​demand_​mwh−sum(final_​dispatch.values())</w:t>
      </w:r>
      <w:r>
        <w:rPr>
          <w:b w:val="0"/>
          <w:i w:val="0"/>
        </w:rPr>
        <w:t>。发电与进口将剩余可用电量作为上调报价，将计划电量作为下调报价。储能下调先撤回计划放电，再按充电功率、剩余库容及效率吸收电量。出口以负注入进入其声明的接入位置与容量范围。</w:t>
      </w:r>
    </w:p>
    <w:p>
      <w:pPr>
        <w:pStyle w:val="Heading2"/>
      </w:pPr>
      <w:r>
        <w:rPr>
          <w:b w:val="0"/>
          <w:i w:val="0"/>
        </w:rPr>
        <w:t>下调报价与结算</w:t>
      </w:r>
    </w:p>
    <w:p>
      <w:r>
        <w:rPr>
          <w:b w:val="0"/>
          <w:i w:val="0"/>
        </w:rPr>
        <w:t xml:space="preserve">下调结算按接纳的减发电量与报价乘积退回款项。因此，上调的有符号调整量 </w:t>
      </w:r>
      <w:r>
        <w:rPr>
          <w:rFonts w:ascii="DejaVu Sans Mono" w:hAnsi="DejaVu Sans Mono"/>
          <w:b w:val="0"/>
          <w:i w:val="0"/>
          <w:sz w:val="17"/>
        </w:rPr>
        <w:t>delta</w:t>
      </w:r>
      <w:r>
        <w:rPr>
          <w:b w:val="0"/>
          <w:i w:val="0"/>
        </w:rPr>
        <w:t xml:space="preserve"> 为正，下调的 </w:t>
      </w:r>
      <w:r>
        <w:rPr>
          <w:rFonts w:ascii="DejaVu Sans Mono" w:hAnsi="DejaVu Sans Mono"/>
          <w:b w:val="0"/>
          <w:i w:val="0"/>
          <w:sz w:val="17"/>
        </w:rPr>
        <w:t>delta</w:t>
      </w:r>
      <w:r>
        <w:rPr>
          <w:b w:val="0"/>
          <w:i w:val="0"/>
        </w:rPr>
        <w:t xml:space="preserve"> 为负，两者均采用 </w:t>
      </w:r>
      <w:r>
        <w:rPr>
          <w:rFonts w:ascii="DejaVu Sans Mono" w:hAnsi="DejaVu Sans Mono"/>
          <w:b w:val="0"/>
          <w:i w:val="0"/>
          <w:sz w:val="17"/>
        </w:rPr>
        <w:t>cashflow=delta×price_​gbp_​per_​mwh</w:t>
      </w:r>
      <w:r>
        <w:rPr>
          <w:b w:val="0"/>
          <w:i w:val="0"/>
        </w:rPr>
        <w:t xml:space="preserve">。分阶段与网络路径采用 </w:t>
      </w:r>
      <w:r>
        <w:rPr>
          <w:rFonts w:ascii="DejaVu Sans Mono" w:hAnsi="DejaVu Sans Mono"/>
          <w:b w:val="0"/>
          <w:i w:val="0"/>
          <w:sz w:val="17"/>
        </w:rPr>
        <w:t>network-economic-v2</w:t>
      </w:r>
      <w:r>
        <w:rPr>
          <w:b w:val="0"/>
          <w:i w:val="0"/>
        </w:rPr>
        <w:t xml:space="preserve"> 生成报价。</w:t>
      </w:r>
    </w:p>
    <w:p>
      <w:pPr>
        <w:keepNext/>
      </w:pPr>
      <w:r>
        <w:rPr>
          <w:b w:val="0"/>
          <w:i w:val="0"/>
        </w:rPr>
        <w:t>火电下调将提前计划分成运行区间与最小稳定出力区间。</w:t>
      </w:r>
      <w:r>
        <w:rPr>
          <w:rFonts w:ascii="DejaVu Sans Mono" w:hAnsi="DejaVu Sans Mono"/>
          <w:b w:val="0"/>
          <w:i w:val="0"/>
          <w:sz w:val="17"/>
        </w:rPr>
        <w:t>thermal_dec_segments</w:t>
      </w:r>
      <w:r>
        <w:rPr>
          <w:b w:val="0"/>
          <w:i w:val="0"/>
        </w:rPr>
        <w:t xml:space="preserve"> 取 </w:t>
      </w:r>
      <w:r>
        <w:rPr>
          <w:rFonts w:ascii="DejaVu Sans Mono" w:hAnsi="DejaVu Sans Mono"/>
          <w:b w:val="0"/>
          <w:i w:val="0"/>
          <w:sz w:val="17"/>
        </w:rPr>
        <w:t>shutdown_​mwh=min_​stable_​fraction×scheduled_​mwh</w:t>
      </w:r>
      <w:r>
        <w:rPr>
          <w:b w:val="0"/>
          <w:i w:val="0"/>
        </w:rPr>
        <w:t xml:space="preserve">，其余电量记为 </w:t>
      </w:r>
      <w:r>
        <w:rPr>
          <w:rFonts w:ascii="DejaVu Sans Mono" w:hAnsi="DejaVu Sans Mono"/>
          <w:b w:val="0"/>
          <w:i w:val="0"/>
          <w:sz w:val="17"/>
        </w:rPr>
        <w:t>running_mwh</w:t>
      </w:r>
      <w:r>
        <w:rPr>
          <w:b w:val="0"/>
          <w:i w:val="0"/>
        </w:rPr>
        <w:t xml:space="preserve">。运行区间报价为应用下调乘数后、扣除政策支持的可避免边际成本；停机区间再扣除按预计停机时长分摊的重启费用。在 </w:t>
      </w:r>
      <w:r>
        <w:rPr>
          <w:rFonts w:ascii="DejaVu Sans Mono" w:hAnsi="DejaVu Sans Mono"/>
          <w:b w:val="0"/>
          <w:i w:val="0"/>
          <w:sz w:val="17"/>
        </w:rPr>
        <w:t>RestartParameters.net_​saving</w:t>
      </w:r>
      <w:r>
        <w:rPr>
          <w:b w:val="0"/>
          <w:i w:val="0"/>
        </w:rPr>
        <w:t xml:space="preserve"> 中，</w:t>
      </w:r>
      <w:r>
        <w:rPr>
          <w:rFonts w:ascii="DejaVu Sans Mono" w:hAnsi="DejaVu Sans Mono"/>
          <w:b w:val="0"/>
          <w:i w:val="0"/>
          <w:sz w:val="17"/>
        </w:rPr>
        <w:t>avoided_cost</w:t>
      </w:r>
      <w:r>
        <w:rPr>
          <w:b w:val="0"/>
          <w:i w:val="0"/>
        </w:rPr>
        <w:t xml:space="preserve"> 的单位为 GBP/MWh，</w:t>
      </w:r>
      <w:r>
        <w:rPr>
          <w:rFonts w:ascii="DejaVu Sans Mono" w:hAnsi="DejaVu Sans Mono"/>
          <w:b w:val="0"/>
          <w:i w:val="0"/>
          <w:sz w:val="17"/>
        </w:rPr>
        <w:t>restart_cost(horizon_h)</w:t>
      </w:r>
      <w:r>
        <w:rPr>
          <w:b w:val="0"/>
          <w:i w:val="0"/>
        </w:rPr>
        <w:t xml:space="preserve"> 为每次启动的 GBP/MW，</w:t>
      </w:r>
      <w:r>
        <w:rPr>
          <w:rFonts w:ascii="DejaVu Sans Mono" w:hAnsi="DejaVu Sans Mono"/>
          <w:b w:val="0"/>
          <w:i w:val="0"/>
          <w:sz w:val="17"/>
        </w:rPr>
        <w:t>horizon_h</w:t>
      </w:r>
      <w:r>
        <w:rPr>
          <w:b w:val="0"/>
          <w:i w:val="0"/>
        </w:rPr>
        <w:t xml:space="preserve"> 以小时计：</w:t>
      </w:r>
    </w:p>
    <w:p>
      <w:pPr>
        <w:spacing w:after="160"/>
        <w:jc w:val="center"/>
      </w:pPr>
      <w:r>
        <w:drawing>
          <wp:inline xmlns:a="http://schemas.openxmlformats.org/drawingml/2006/main" xmlns:pic="http://schemas.openxmlformats.org/drawingml/2006/picture">
            <wp:extent cx="4347667" cy="610319"/>
            <wp:docPr id="32" name="Picture 32"/>
            <wp:cNvGraphicFramePr>
              <a:graphicFrameLocks noChangeAspect="1"/>
            </wp:cNvGraphicFramePr>
            <a:graphic>
              <a:graphicData uri="http://schemas.openxmlformats.org/drawingml/2006/picture">
                <pic:pic>
                  <pic:nvPicPr>
                    <pic:cNvPr id="0" name="eq-032.png"/>
                    <pic:cNvPicPr/>
                  </pic:nvPicPr>
                  <pic:blipFill>
                    <a:blip r:embed="rId42"/>
                    <a:stretch>
                      <a:fillRect/>
                    </a:stretch>
                  </pic:blipFill>
                  <pic:spPr>
                    <a:xfrm>
                      <a:off x="0" y="0"/>
                      <a:ext cx="4347667" cy="610319"/>
                    </a:xfrm>
                    <a:prstGeom prst="rect"/>
                  </pic:spPr>
                </pic:pic>
              </a:graphicData>
            </a:graphic>
          </wp:inline>
        </w:drawing>
      </w:r>
    </w:p>
    <w:p>
      <w:r>
        <w:rPr>
          <w:rFonts w:ascii="DejaVu Sans Mono" w:hAnsi="DejaVu Sans Mono"/>
          <w:b w:val="0"/>
          <w:i w:val="0"/>
          <w:sz w:val="17"/>
        </w:rPr>
        <w:t>shutdown_horizon_hours</w:t>
      </w:r>
      <w:r>
        <w:rPr>
          <w:b w:val="0"/>
          <w:i w:val="0"/>
        </w:rPr>
        <w:t xml:space="preserve"> 统计当前时段及其后预测需求可由声明风光与核电可用电量覆盖的连续时段，返回 </w:t>
      </w:r>
      <w:r>
        <w:rPr>
          <w:rFonts w:ascii="DejaVu Sans Mono" w:hAnsi="DejaVu Sans Mono"/>
          <w:b w:val="0"/>
          <w:i w:val="0"/>
          <w:sz w:val="17"/>
        </w:rPr>
        <w:t>(1+run_​after[period])×period_​hours</w:t>
      </w:r>
      <w:r>
        <w:rPr>
          <w:b w:val="0"/>
          <w:i w:val="0"/>
        </w:rPr>
        <w:t xml:space="preserve">。预计时长小于 </w:t>
      </w:r>
      <w:r>
        <w:rPr>
          <w:rFonts w:ascii="DejaVu Sans Mono" w:hAnsi="DejaVu Sans Mono"/>
          <w:b w:val="0"/>
          <w:i w:val="0"/>
          <w:sz w:val="17"/>
        </w:rPr>
        <w:t>min_down_time_h</w:t>
      </w:r>
      <w:r>
        <w:rPr>
          <w:b w:val="0"/>
          <w:i w:val="0"/>
        </w:rPr>
        <w:t xml:space="preserve"> 时，</w:t>
      </w:r>
      <w:r>
        <w:rPr>
          <w:rFonts w:ascii="DejaVu Sans Mono" w:hAnsi="DejaVu Sans Mono"/>
          <w:b w:val="0"/>
          <w:i w:val="0"/>
          <w:sz w:val="17"/>
        </w:rPr>
        <w:t>last_resort_price</w:t>
      </w:r>
      <w:r>
        <w:rPr>
          <w:b w:val="0"/>
          <w:i w:val="0"/>
        </w:rPr>
        <w:t xml:space="preserve"> 将停机报价置于普通下调报价的最低舍入价格以下至少 0.01 GBP/​MWh；达到最短停机时长时，报价取停机净节省。普通报价集合为空时也采用净节省价格。</w:t>
      </w:r>
    </w:p>
    <w:p>
      <w:r>
        <w:rPr>
          <w:b w:val="0"/>
          <w:i w:val="0"/>
        </w:rPr>
        <w:t>CCGT 的最小稳定出力比例为 0.50，最短停机时间为 6 h，热、温、冷启动费用分别为 113.7、134.4、155.0 GBP/MW。OCGT 对应值为 0.50、0.5 h、175.7 GBP/MW，生物质对应值为 0.35、6 h、129.2 GBP/MW。CCGT 在停机少于 12 h 时采用热启动，12 至 48 h 采用温启动，超过 48 h 采用冷启动。费用均以 2025 年英镑计。运行区间先于本机组的停机区间下调；停机净节省为正时，停机区间先于无支持的风电下调，价格相同时风电先下调。</w:t>
      </w:r>
    </w:p>
    <w:p>
      <w:r>
        <w:rPr>
          <w:b w:val="0"/>
          <w:i w:val="0"/>
        </w:rPr>
        <w:t xml:space="preserve">其他下调价格由 </w:t>
      </w:r>
      <w:r>
        <w:rPr>
          <w:rFonts w:ascii="DejaVu Sans Mono" w:hAnsi="DejaVu Sans Mono"/>
          <w:b w:val="0"/>
          <w:i w:val="0"/>
          <w:sz w:val="17"/>
        </w:rPr>
        <w:t>resource_dec_price</w:t>
      </w:r>
      <w:r>
        <w:rPr>
          <w:b w:val="0"/>
          <w:i w:val="0"/>
        </w:rPr>
        <w:t xml:space="preserve"> 给出。进口取 </w:t>
      </w:r>
      <w:r>
        <w:rPr>
          <w:rFonts w:ascii="DejaVu Sans Mono" w:hAnsi="DejaVu Sans Mono"/>
          <w:b w:val="0"/>
          <w:i w:val="0"/>
          <w:sz w:val="17"/>
        </w:rPr>
        <w:t>marginal×dec_multiplier</w:t>
      </w:r>
      <w:r>
        <w:rPr>
          <w:b w:val="0"/>
          <w:i w:val="0"/>
        </w:rPr>
        <w:t xml:space="preserve">；风电、光伏及径流水电取 </w:t>
      </w:r>
      <w:r>
        <w:rPr>
          <w:rFonts w:ascii="DejaVu Sans Mono" w:hAnsi="DejaVu Sans Mono"/>
          <w:b w:val="0"/>
          <w:i w:val="0"/>
          <w:sz w:val="17"/>
        </w:rPr>
        <w:t>−support</w:t>
      </w:r>
      <w:r>
        <w:rPr>
          <w:b w:val="0"/>
          <w:i w:val="0"/>
        </w:rPr>
        <w:t xml:space="preserve">；核电取 </w:t>
      </w:r>
      <w:r>
        <w:rPr>
          <w:rFonts w:ascii="DejaVu Sans Mono" w:hAnsi="DejaVu Sans Mono"/>
          <w:b w:val="0"/>
          <w:i w:val="0"/>
          <w:sz w:val="17"/>
        </w:rPr>
        <w:t>marginal×dec_​multiplier−support−premium</w:t>
      </w:r>
      <w:r>
        <w:rPr>
          <w:b w:val="0"/>
          <w:i w:val="0"/>
        </w:rPr>
        <w:t xml:space="preserve">；其他燃料资源取 </w:t>
      </w:r>
      <w:r>
        <w:rPr>
          <w:rFonts w:ascii="DejaVu Sans Mono" w:hAnsi="DejaVu Sans Mono"/>
          <w:b w:val="0"/>
          <w:i w:val="0"/>
          <w:sz w:val="17"/>
        </w:rPr>
        <w:t>marginal×dec_​multiplier−support</w:t>
      </w:r>
      <w:r>
        <w:rPr>
          <w:b w:val="0"/>
          <w:i w:val="0"/>
        </w:rPr>
        <w:t>。</w:t>
      </w:r>
      <w:r>
        <w:rPr>
          <w:rFonts w:ascii="DejaVu Sans Mono" w:hAnsi="DejaVu Sans Mono"/>
          <w:b w:val="0"/>
          <w:i w:val="0"/>
          <w:sz w:val="17"/>
        </w:rPr>
        <w:t>market.dec_multiplier</w:t>
      </w:r>
      <w:r>
        <w:rPr>
          <w:b w:val="0"/>
          <w:i w:val="0"/>
        </w:rPr>
        <w:t xml:space="preserve"> 默认值为 1，上限为 </w:t>
      </w:r>
      <w:r>
        <w:rPr>
          <w:rFonts w:ascii="DejaVu Sans Mono" w:hAnsi="DejaVu Sans Mono"/>
          <w:b w:val="0"/>
          <w:i w:val="0"/>
          <w:sz w:val="17"/>
        </w:rPr>
        <w:t>market.bid_multiplier</w:t>
      </w:r>
      <w:r>
        <w:rPr>
          <w:b w:val="0"/>
          <w:i w:val="0"/>
        </w:rPr>
        <w:t>。未列出的政策支持为零，核电默认溢价为 100 GBP/​MWh。储能下调价值为其上调报价乘充放电效率。</w:t>
      </w:r>
      <w:r>
        <w:rPr>
          <w:rFonts w:ascii="DejaVu Sans Mono" w:hAnsi="DejaVu Sans Mono"/>
          <w:b w:val="0"/>
          <w:i w:val="0"/>
          <w:sz w:val="17"/>
        </w:rPr>
        <w:t>storage_dec_price</w:t>
      </w:r>
      <w:r>
        <w:rPr>
          <w:b w:val="0"/>
          <w:i w:val="0"/>
        </w:rPr>
        <w:t xml:space="preserve"> 还以当期最低可用上调报价及自身上调报价限制该值；以下价格均以 GBP/MWh 计：</w:t>
      </w:r>
    </w:p>
    <w:p>
      <w:pPr>
        <w:keepLines/>
        <w:spacing w:line="276" w:lineRule="auto" w:after="160"/>
      </w:pPr>
      <w:r>
        <w:rPr>
          <w:rFonts w:ascii="DejaVu Sans Mono" w:hAnsi="DejaVu Sans Mono"/>
          <w:b w:val="0"/>
          <w:i w:val="0"/>
          <w:sz w:val="17"/>
        </w:rPr>
        <w:t>value = up_price_gbp_per_mwh * charge_efficiency * discharge_efficiency</w:t>
        <w:br/>
        <w:t>if lowest_​inc_​price_​gbp_​per_​mwh is not None:</w:t>
        <w:br/>
        <w:t xml:space="preserve">    value = min(value, lowest_​inc_​price_​gbp_​per_​mwh)</w:t>
        <w:br/>
        <w:t>value = min(value, up_price_gbp_per_mwh)</w:t>
        <w:br/>
      </w:r>
    </w:p>
    <w:p>
      <w:r>
        <w:rPr>
          <w:b w:val="0"/>
          <w:i w:val="0"/>
        </w:rPr>
        <w:t>铜板平衡按价格从低到高排列上调报价，同价时发电先于储能，VoLL 以上的报价留在接纳集合之外。下调按舍入至 0.01 GBP/MWh 的价格从高到低排序，再依次按类别和精确价格排序。类别顺序为燃料机组运行区间、进口、储能、径流水电、风光、火电停机、核电、短停机时长区间。同方向、同类别、同价格报价按可用电量比例分配接纳量。</w:t>
      </w:r>
    </w:p>
    <w:p>
      <w:r>
        <w:rPr>
          <w:b w:val="0"/>
          <w:i w:val="0"/>
        </w:rPr>
        <w:t>对每个同价组，</w:t>
      </w:r>
      <w:r>
        <w:rPr>
          <w:rFonts w:ascii="DejaVu Sans Mono" w:hAnsi="DejaVu Sans Mono"/>
          <w:b w:val="0"/>
          <w:i w:val="0"/>
          <w:sz w:val="17"/>
        </w:rPr>
        <w:t>total</w:t>
      </w:r>
      <w:r>
        <w:rPr>
          <w:b w:val="0"/>
          <w:i w:val="0"/>
        </w:rPr>
        <w:t xml:space="preserve"> 为可用 MWh，</w:t>
      </w:r>
      <w:r>
        <w:rPr>
          <w:rFonts w:ascii="DejaVu Sans Mono" w:hAnsi="DejaVu Sans Mono"/>
          <w:b w:val="0"/>
          <w:i w:val="0"/>
          <w:sz w:val="17"/>
        </w:rPr>
        <w:t>fraction</w:t>
      </w:r>
      <w:r>
        <w:rPr>
          <w:b w:val="0"/>
          <w:i w:val="0"/>
        </w:rPr>
        <w:t xml:space="preserve"> 取待平衡电量与可用电量之比及 1 的较小值。由此得到的 </w:t>
      </w:r>
      <w:r>
        <w:rPr>
          <w:rFonts w:ascii="DejaVu Sans Mono" w:hAnsi="DejaVu Sans Mono"/>
          <w:b w:val="0"/>
          <w:i w:val="0"/>
          <w:sz w:val="17"/>
        </w:rPr>
        <w:t>delta</w:t>
      </w:r>
      <w:r>
        <w:rPr>
          <w:b w:val="0"/>
          <w:i w:val="0"/>
        </w:rPr>
        <w:t xml:space="preserve"> 更新 </w:t>
      </w:r>
      <w:r>
        <w:rPr>
          <w:rFonts w:ascii="DejaVu Sans Mono" w:hAnsi="DejaVu Sans Mono"/>
          <w:b w:val="0"/>
          <w:i w:val="0"/>
          <w:sz w:val="17"/>
        </w:rPr>
        <w:t>final_dispatch</w:t>
      </w:r>
      <w:r>
        <w:rPr>
          <w:b w:val="0"/>
          <w:i w:val="0"/>
        </w:rPr>
        <w:t xml:space="preserve">，并产生 </w:t>
      </w:r>
      <w:r>
        <w:rPr>
          <w:rFonts w:ascii="DejaVu Sans Mono" w:hAnsi="DejaVu Sans Mono"/>
          <w:b w:val="0"/>
          <w:i w:val="0"/>
          <w:sz w:val="17"/>
        </w:rPr>
        <w:t>cashflow</w:t>
      </w:r>
      <w:r>
        <w:rPr>
          <w:b w:val="0"/>
          <w:i w:val="0"/>
        </w:rPr>
        <w:t xml:space="preserve">。正的剩余需求记为 </w:t>
      </w:r>
      <w:r>
        <w:rPr>
          <w:rFonts w:ascii="DejaVu Sans Mono" w:hAnsi="DejaVu Sans Mono"/>
          <w:b w:val="0"/>
          <w:i w:val="0"/>
          <w:sz w:val="17"/>
        </w:rPr>
        <w:t>blackout_mwh</w:t>
      </w:r>
      <w:r>
        <w:rPr>
          <w:b w:val="0"/>
          <w:i w:val="0"/>
        </w:rPr>
        <w:t>，最终供应加停电量与实际需求的差额须在 10⁻⁸ MWh 内。分区平衡在第 7 章网络约束内采用相同计划与报价定义，先按精确价格优化，再处理物理同价选择。</w:t>
      </w:r>
    </w:p>
    <w:p>
      <w:r>
        <w:rPr>
          <w:b w:val="0"/>
          <w:i w:val="0"/>
        </w:rPr>
        <w:t>以 50 MWh 预测需求说明两阶段结算。风电按 £0/MWh 报价 30 MWh，燃气按 £60/MWh 报价 30 MWh。提前计划接纳风电 30 MWh、燃气 20 MWh，按统一的 £60/MWh 支付 £3,000。实际需求为 55 MWh 时，燃气再发 5 MWh，获得 £300 平衡收入；其物理支出按最终 25 MWh 计算，为 £1,500。</w:t>
      </w:r>
    </w:p>
    <w:p>
      <w:pPr>
        <w:pStyle w:val="Heading2"/>
      </w:pPr>
      <w:r>
        <w:rPr>
          <w:b w:val="0"/>
          <w:i w:val="0"/>
        </w:rPr>
        <w:t>储能库存与报价</w:t>
      </w:r>
    </w:p>
    <w:p>
      <w:pPr>
        <w:keepNext/>
      </w:pPr>
      <w:r>
        <w:rPr>
          <w:b w:val="0"/>
          <w:i w:val="0"/>
        </w:rPr>
        <w:t xml:space="preserve">储能库存随每期最终净注入更新。在 </w:t>
      </w:r>
      <w:r>
        <w:rPr>
          <w:rFonts w:ascii="DejaVu Sans Mono" w:hAnsi="DejaVu Sans Mono"/>
          <w:b w:val="0"/>
          <w:i w:val="0"/>
          <w:sz w:val="17"/>
        </w:rPr>
        <w:t>CopperplateBalancing.clear</w:t>
      </w:r>
      <w:r>
        <w:rPr>
          <w:b w:val="0"/>
          <w:i w:val="0"/>
        </w:rPr>
        <w:t xml:space="preserve"> 中，</w:t>
      </w:r>
      <w:r>
        <w:rPr>
          <w:rFonts w:ascii="DejaVu Sans Mono" w:hAnsi="DejaVu Sans Mono"/>
          <w:b w:val="0"/>
          <w:i w:val="0"/>
          <w:sz w:val="17"/>
        </w:rPr>
        <w:t>opening</w:t>
      </w:r>
      <w:r>
        <w:rPr>
          <w:b w:val="0"/>
          <w:i w:val="0"/>
        </w:rPr>
        <w:t xml:space="preserve"> 是初始储能侧 MWh，</w:t>
      </w:r>
      <w:r>
        <w:rPr>
          <w:rFonts w:ascii="DejaVu Sans Mono" w:hAnsi="DejaVu Sans Mono"/>
          <w:b w:val="0"/>
          <w:i w:val="0"/>
          <w:sz w:val="17"/>
        </w:rPr>
        <w:t>dispatch</w:t>
      </w:r>
      <w:r>
        <w:rPr>
          <w:b w:val="0"/>
          <w:i w:val="0"/>
        </w:rPr>
        <w:t xml:space="preserve"> 是最终向电网输出的 MWh，负值表示充电。更新后的 </w:t>
      </w:r>
      <w:r>
        <w:rPr>
          <w:rFonts w:ascii="DejaVu Sans Mono" w:hAnsi="DejaVu Sans Mono"/>
          <w:b w:val="0"/>
          <w:i w:val="0"/>
          <w:sz w:val="17"/>
        </w:rPr>
        <w:t>soc</w:t>
      </w:r>
      <w:r>
        <w:rPr>
          <w:b w:val="0"/>
          <w:i w:val="0"/>
        </w:rPr>
        <w:t xml:space="preserve"> 为：</w:t>
      </w:r>
    </w:p>
    <w:p>
      <w:pPr>
        <w:spacing w:after="160"/>
        <w:jc w:val="center"/>
      </w:pPr>
      <w:r>
        <w:drawing>
          <wp:inline xmlns:a="http://schemas.openxmlformats.org/drawingml/2006/main" xmlns:pic="http://schemas.openxmlformats.org/drawingml/2006/picture">
            <wp:extent cx="5403951" cy="413754"/>
            <wp:docPr id="33" name="Picture 33"/>
            <wp:cNvGraphicFramePr>
              <a:graphicFrameLocks noChangeAspect="1"/>
            </wp:cNvGraphicFramePr>
            <a:graphic>
              <a:graphicData uri="http://schemas.openxmlformats.org/drawingml/2006/picture">
                <pic:pic>
                  <pic:nvPicPr>
                    <pic:cNvPr id="0" name="eq-033.png"/>
                    <pic:cNvPicPr/>
                  </pic:nvPicPr>
                  <pic:blipFill>
                    <a:blip r:embed="rId43"/>
                    <a:stretch>
                      <a:fillRect/>
                    </a:stretch>
                  </pic:blipFill>
                  <pic:spPr>
                    <a:xfrm>
                      <a:off x="0" y="0"/>
                      <a:ext cx="5403951" cy="413754"/>
                    </a:xfrm>
                    <a:prstGeom prst="rect"/>
                  </pic:spPr>
                </pic:pic>
              </a:graphicData>
            </a:graphic>
          </wp:inline>
        </w:drawing>
      </w:r>
    </w:p>
    <w:p>
      <w:r>
        <w:rPr>
          <w:b w:val="0"/>
          <w:i w:val="0"/>
        </w:rPr>
        <w:t xml:space="preserve">库存范围为零至 </w:t>
      </w:r>
      <w:r>
        <w:rPr>
          <w:rFonts w:ascii="DejaVu Sans Mono" w:hAnsi="DejaVu Sans Mono"/>
          <w:b w:val="0"/>
          <w:i w:val="0"/>
          <w:sz w:val="17"/>
        </w:rPr>
        <w:t>energy_capacity_mwh</w:t>
      </w:r>
      <w:r>
        <w:rPr>
          <w:b w:val="0"/>
          <w:i w:val="0"/>
        </w:rPr>
        <w:t xml:space="preserve">，舍入容差为 10⁻⁸ MWh。充电与放电分别受 </w:t>
      </w:r>
      <w:r>
        <w:rPr>
          <w:rFonts w:ascii="DejaVu Sans Mono" w:hAnsi="DejaVu Sans Mono"/>
          <w:b w:val="0"/>
          <w:i w:val="0"/>
          <w:sz w:val="17"/>
        </w:rPr>
        <w:t>charge_​power_​mw×period_​hours</w:t>
      </w:r>
      <w:r>
        <w:rPr>
          <w:b w:val="0"/>
          <w:i w:val="0"/>
        </w:rPr>
        <w:t xml:space="preserve"> 和 </w:t>
      </w:r>
      <w:r>
        <w:rPr>
          <w:rFonts w:ascii="DejaVu Sans Mono" w:hAnsi="DejaVu Sans Mono"/>
          <w:b w:val="0"/>
          <w:i w:val="0"/>
          <w:sz w:val="17"/>
        </w:rPr>
        <w:t>discharge_​power_​mw×period_​hours</w:t>
      </w:r>
      <w:r>
        <w:rPr>
          <w:b w:val="0"/>
          <w:i w:val="0"/>
        </w:rPr>
        <w:t xml:space="preserve"> 限制。分区调度将两个方向分别表示，每期至多一个方向超过 10⁻⁸ MWh。期末库存成为下一期的 </w:t>
      </w:r>
      <w:r>
        <w:rPr>
          <w:rFonts w:ascii="DejaVu Sans Mono" w:hAnsi="DejaVu Sans Mono"/>
          <w:b w:val="0"/>
          <w:i w:val="0"/>
          <w:sz w:val="17"/>
        </w:rPr>
        <w:t>opening</w:t>
      </w:r>
      <w:r>
        <w:rPr>
          <w:b w:val="0"/>
          <w:i w:val="0"/>
        </w:rPr>
        <w:t>，每年的初始库存按上文设定。</w:t>
      </w:r>
    </w:p>
    <w:p>
      <w:pPr>
        <w:keepNext/>
      </w:pPr>
      <w:r>
        <w:rPr>
          <w:rFonts w:ascii="DejaVu Sans Mono" w:hAnsi="DejaVu Sans Mono"/>
          <w:b w:val="0"/>
          <w:i w:val="0"/>
          <w:sz w:val="17"/>
        </w:rPr>
        <w:t>DynamicAnnualStorageCost</w:t>
      </w:r>
      <w:r>
        <w:rPr>
          <w:b w:val="0"/>
          <w:i w:val="0"/>
        </w:rPr>
        <w:t xml:space="preserve"> 将设备成本回收分为循环折旧与持有回收。</w:t>
      </w:r>
      <w:r>
        <w:rPr>
          <w:rFonts w:ascii="DejaVu Sans Mono" w:hAnsi="DejaVu Sans Mono"/>
          <w:b w:val="0"/>
          <w:i w:val="0"/>
          <w:sz w:val="17"/>
        </w:rPr>
        <w:t>capital_recovery_factor</w:t>
      </w:r>
      <w:r>
        <w:rPr>
          <w:b w:val="0"/>
          <w:i w:val="0"/>
        </w:rPr>
        <w:t xml:space="preserve"> 接收 </w:t>
      </w:r>
      <w:r>
        <w:rPr>
          <w:rFonts w:ascii="DejaVu Sans Mono" w:hAnsi="DejaVu Sans Mono"/>
          <w:b w:val="0"/>
          <w:i w:val="0"/>
          <w:sz w:val="17"/>
        </w:rPr>
        <w:t>discount_rate</w:t>
      </w:r>
      <w:r>
        <w:rPr>
          <w:b w:val="0"/>
          <w:i w:val="0"/>
        </w:rPr>
        <w:t xml:space="preserve"> 与 </w:t>
      </w:r>
      <w:r>
        <w:rPr>
          <w:rFonts w:ascii="DejaVu Sans Mono" w:hAnsi="DejaVu Sans Mono"/>
          <w:b w:val="0"/>
          <w:i w:val="0"/>
          <w:sz w:val="17"/>
        </w:rPr>
        <w:t>lifetime_years</w:t>
      </w:r>
      <w:r>
        <w:rPr>
          <w:b w:val="0"/>
          <w:i w:val="0"/>
        </w:rPr>
        <w:t>；折现率非正时返回寿命的倒数，正折现率时采用：</w:t>
      </w:r>
    </w:p>
    <w:p>
      <w:pPr>
        <w:spacing w:after="160"/>
        <w:jc w:val="center"/>
      </w:pPr>
      <w:r>
        <w:drawing>
          <wp:inline xmlns:a="http://schemas.openxmlformats.org/drawingml/2006/main" xmlns:pic="http://schemas.openxmlformats.org/drawingml/2006/picture">
            <wp:extent cx="4877562" cy="623981"/>
            <wp:docPr id="34" name="Picture 34"/>
            <wp:cNvGraphicFramePr>
              <a:graphicFrameLocks noChangeAspect="1"/>
            </wp:cNvGraphicFramePr>
            <a:graphic>
              <a:graphicData uri="http://schemas.openxmlformats.org/drawingml/2006/picture">
                <pic:pic>
                  <pic:nvPicPr>
                    <pic:cNvPr id="0" name="eq-034.png"/>
                    <pic:cNvPicPr/>
                  </pic:nvPicPr>
                  <pic:blipFill>
                    <a:blip r:embed="rId44"/>
                    <a:stretch>
                      <a:fillRect/>
                    </a:stretch>
                  </pic:blipFill>
                  <pic:spPr>
                    <a:xfrm>
                      <a:off x="0" y="0"/>
                      <a:ext cx="4877562" cy="623981"/>
                    </a:xfrm>
                    <a:prstGeom prst="rect"/>
                  </pic:spPr>
                </pic:pic>
              </a:graphicData>
            </a:graphic>
          </wp:inline>
        </w:drawing>
      </w:r>
    </w:p>
    <w:p>
      <w:r>
        <w:rPr>
          <w:b w:val="0"/>
          <w:i w:val="0"/>
        </w:rPr>
        <w:t>年度成本为资产年化建设费用与固定维护费之和。</w:t>
      </w:r>
      <w:r>
        <w:rPr>
          <w:rFonts w:ascii="DejaVu Sans Mono" w:hAnsi="DejaVu Sans Mono"/>
          <w:b w:val="0"/>
          <w:i w:val="0"/>
          <w:sz w:val="17"/>
        </w:rPr>
        <w:t>prepare_year</w:t>
      </w:r>
      <w:r>
        <w:rPr>
          <w:b w:val="0"/>
          <w:i w:val="0"/>
        </w:rPr>
        <w:t xml:space="preserve"> 接收资产实际的 </w:t>
      </w:r>
      <w:r>
        <w:rPr>
          <w:rFonts w:ascii="DejaVu Sans Mono" w:hAnsi="DejaVu Sans Mono"/>
          <w:b w:val="0"/>
          <w:i w:val="0"/>
          <w:sz w:val="17"/>
        </w:rPr>
        <w:t>capital_cost_gbp</w:t>
      </w:r>
      <w:r>
        <w:rPr>
          <w:b w:val="0"/>
          <w:i w:val="0"/>
        </w:rPr>
        <w:t>、</w:t>
      </w:r>
      <w:r>
        <w:rPr>
          <w:rFonts w:ascii="DejaVu Sans Mono" w:hAnsi="DejaVu Sans Mono"/>
          <w:b w:val="0"/>
          <w:i w:val="0"/>
          <w:sz w:val="17"/>
        </w:rPr>
        <w:t>power_capacity_mw</w:t>
      </w:r>
      <w:r>
        <w:rPr>
          <w:b w:val="0"/>
          <w:i w:val="0"/>
        </w:rPr>
        <w:t>、</w:t>
      </w:r>
      <w:r>
        <w:rPr>
          <w:rFonts w:ascii="DejaVu Sans Mono" w:hAnsi="DejaVu Sans Mono"/>
          <w:b w:val="0"/>
          <w:i w:val="0"/>
          <w:sz w:val="17"/>
        </w:rPr>
        <w:t>energy_capacity_mwh</w:t>
      </w:r>
      <w:r>
        <w:rPr>
          <w:b w:val="0"/>
          <w:i w:val="0"/>
        </w:rPr>
        <w:t xml:space="preserve"> 和 </w:t>
      </w:r>
      <w:r>
        <w:rPr>
          <w:rFonts w:ascii="DejaVu Sans Mono" w:hAnsi="DejaVu Sans Mono"/>
          <w:b w:val="0"/>
          <w:i w:val="0"/>
          <w:sz w:val="17"/>
        </w:rPr>
        <w:t>discharge_efficiency</w:t>
      </w:r>
      <w:r>
        <w:rPr>
          <w:b w:val="0"/>
          <w:i w:val="0"/>
        </w:rPr>
        <w:t>，</w:t>
      </w:r>
      <w:r>
        <w:rPr>
          <w:rFonts w:ascii="DejaVu Sans Mono" w:hAnsi="DejaVu Sans Mono"/>
          <w:b w:val="0"/>
          <w:i w:val="0"/>
          <w:sz w:val="17"/>
        </w:rPr>
        <w:t>spec</w:t>
      </w:r>
      <w:r>
        <w:rPr>
          <w:b w:val="0"/>
          <w:i w:val="0"/>
        </w:rPr>
        <w:t xml:space="preserve"> 提供目录寿命、时长、循环寿命与固定维护费率。计算保留资产声明的能量功率比。</w:t>
      </w:r>
    </w:p>
    <w:p>
      <w:pPr>
        <w:keepLines/>
        <w:spacing w:line="276" w:lineRule="auto" w:after="160"/>
      </w:pPr>
      <w:r>
        <w:rPr>
          <w:rFonts w:ascii="DejaVu Sans Mono" w:hAnsi="DejaVu Sans Mono"/>
          <w:b w:val="0"/>
          <w:i w:val="0"/>
          <w:sz w:val="17"/>
        </w:rPr>
        <w:t>capex = max(capital_cost_gbp, 0)</w:t>
        <w:br/>
        <w:t>annualized_​capital_​cost_​gbp = capex * capital_​recovery_​factor(</w:t>
        <w:br/>
        <w:t xml:space="preserve">    discount_rate, spec.economic_​lifetime_​years)</w:t>
        <w:br/>
        <w:t>annual_fixed_opex_gbp = (</w:t>
        <w:br/>
        <w:t xml:space="preserve">    max(power_capacity_mw, 0) * 1000 * spec.fixed_​opex_​gbp_​per_​kw_​year)</w:t>
        <w:br/>
        <w:t>annual_​levelized_​project_​cost_​gbp = (</w:t>
        <w:br/>
        <w:t xml:space="preserve">    annualized_​capital_​cost_​gbp + annual_fixed_opex_gbp)</w:t>
        <w:br/>
      </w:r>
    </w:p>
    <w:p>
      <w:r>
        <w:rPr>
          <w:b w:val="0"/>
          <w:i w:val="0"/>
        </w:rPr>
        <w:t>参考年销量采用按寿命平均的年循环次数与可实现充放电次数中的较小值。</w:t>
      </w:r>
      <w:r>
        <w:rPr>
          <w:rFonts w:ascii="DejaVu Sans Mono" w:hAnsi="DejaVu Sans Mono"/>
          <w:b w:val="0"/>
          <w:i w:val="0"/>
          <w:sz w:val="17"/>
        </w:rPr>
        <w:t>_reference_observation</w:t>
      </w:r>
      <w:r>
        <w:rPr>
          <w:b w:val="0"/>
          <w:i w:val="0"/>
        </w:rPr>
        <w:t xml:space="preserve"> 分别按循环寿命与充放电时长计算 </w:t>
      </w:r>
      <w:r>
        <w:rPr>
          <w:rFonts w:ascii="DejaVu Sans Mono" w:hAnsi="DejaVu Sans Mono"/>
          <w:b w:val="0"/>
          <w:i w:val="0"/>
          <w:sz w:val="17"/>
        </w:rPr>
        <w:t>life_cycles_per_year</w:t>
      </w:r>
      <w:r>
        <w:rPr>
          <w:b w:val="0"/>
          <w:i w:val="0"/>
        </w:rPr>
        <w:t xml:space="preserve"> 和 </w:t>
      </w:r>
      <w:r>
        <w:rPr>
          <w:rFonts w:ascii="DejaVu Sans Mono" w:hAnsi="DejaVu Sans Mono"/>
          <w:b w:val="0"/>
          <w:i w:val="0"/>
          <w:sz w:val="17"/>
        </w:rPr>
        <w:t>physical_​cycles_​per_​year</w:t>
      </w:r>
      <w:r>
        <w:rPr>
          <w:b w:val="0"/>
          <w:i w:val="0"/>
        </w:rPr>
        <w:t xml:space="preserve">，取其较小值为 </w:t>
      </w:r>
      <w:r>
        <w:rPr>
          <w:rFonts w:ascii="DejaVu Sans Mono" w:hAnsi="DejaVu Sans Mono"/>
          <w:b w:val="0"/>
          <w:i w:val="0"/>
          <w:sz w:val="17"/>
        </w:rPr>
        <w:t>cycles_per_year</w:t>
      </w:r>
      <w:r>
        <w:rPr>
          <w:b w:val="0"/>
          <w:i w:val="0"/>
        </w:rPr>
        <w:t xml:space="preserve">，再计算以 MWh 计的年度交付销量 </w:t>
      </w:r>
      <w:r>
        <w:rPr>
          <w:rFonts w:ascii="DejaVu Sans Mono" w:hAnsi="DejaVu Sans Mono"/>
          <w:b w:val="0"/>
          <w:i w:val="0"/>
          <w:sz w:val="17"/>
        </w:rPr>
        <w:t>sold</w:t>
      </w:r>
      <w:r>
        <w:rPr>
          <w:b w:val="0"/>
          <w:i w:val="0"/>
        </w:rPr>
        <w:t xml:space="preserve"> 及以模型时段数计的持有时间 </w:t>
      </w:r>
      <w:r>
        <w:rPr>
          <w:rFonts w:ascii="DejaVu Sans Mono" w:hAnsi="DejaVu Sans Mono"/>
          <w:b w:val="0"/>
          <w:i w:val="0"/>
          <w:sz w:val="17"/>
        </w:rPr>
        <w:t>dwell_periods</w:t>
      </w:r>
      <w:r>
        <w:rPr>
          <w:b w:val="0"/>
          <w:i w:val="0"/>
        </w:rPr>
        <w:t>：</w:t>
      </w:r>
    </w:p>
    <w:p>
      <w:pPr>
        <w:keepLines/>
        <w:spacing w:line="276" w:lineRule="auto" w:after="160"/>
      </w:pPr>
      <w:r>
        <w:rPr>
          <w:rFonts w:ascii="DejaVu Sans Mono" w:hAnsi="DejaVu Sans Mono"/>
          <w:b w:val="0"/>
          <w:i w:val="0"/>
          <w:sz w:val="17"/>
        </w:rPr>
        <w:t>life_cycles_per_year = spec.maximum_cycles / spec.economic_​lifetime_​years</w:t>
        <w:br/>
        <w:t>physical_​cycles_​per_​year = 8760 / max(2 * spec.duration_hours, 1e-9)</w:t>
        <w:br/>
        <w:t>cycles_per_year = min(life_​cycles_​per_​year, physical_​cycles_​per_​year)</w:t>
        <w:br/>
        <w:t>sold = (max(energy_​capacity_​mwh, 0) * max(discharge_​efficiency, 0)</w:t>
        <w:br/>
        <w:t xml:space="preserve">        * cycles_per_year)</w:t>
        <w:br/>
        <w:t>dwell_periods = max(spec.duration_hours / period_hours, 2)</w:t>
        <w:br/>
      </w:r>
    </w:p>
    <w:p>
      <w:r>
        <w:rPr>
          <w:b w:val="0"/>
          <w:i w:val="0"/>
        </w:rPr>
        <w:t>定价基准优先采用为正的上一年销量，并以参考销量的一定比例作为下限。</w:t>
      </w:r>
      <w:r>
        <w:rPr>
          <w:rFonts w:ascii="DejaVu Sans Mono" w:hAnsi="DejaVu Sans Mono"/>
          <w:b w:val="0"/>
          <w:i w:val="0"/>
          <w:sz w:val="17"/>
        </w:rPr>
        <w:t>reference</w:t>
      </w:r>
      <w:r>
        <w:rPr>
          <w:b w:val="0"/>
          <w:i w:val="0"/>
        </w:rPr>
        <w:t xml:space="preserve"> 是 </w:t>
      </w:r>
      <w:r>
        <w:rPr>
          <w:rFonts w:ascii="DejaVu Sans Mono" w:hAnsi="DejaVu Sans Mono"/>
          <w:b w:val="0"/>
          <w:i w:val="0"/>
          <w:sz w:val="17"/>
        </w:rPr>
        <w:t>_reference_observation</w:t>
      </w:r>
      <w:r>
        <w:rPr>
          <w:b w:val="0"/>
          <w:i w:val="0"/>
        </w:rPr>
        <w:t xml:space="preserve"> 返回的观察值，将 </w:t>
      </w:r>
      <w:r>
        <w:rPr>
          <w:rFonts w:ascii="DejaVu Sans Mono" w:hAnsi="DejaVu Sans Mono"/>
          <w:b w:val="0"/>
          <w:i w:val="0"/>
          <w:sz w:val="17"/>
        </w:rPr>
        <w:t>sold</w:t>
      </w:r>
      <w:r>
        <w:rPr>
          <w:b w:val="0"/>
          <w:i w:val="0"/>
        </w:rPr>
        <w:t xml:space="preserve"> 保存为 </w:t>
      </w:r>
      <w:r>
        <w:rPr>
          <w:rFonts w:ascii="DejaVu Sans Mono" w:hAnsi="DejaVu Sans Mono"/>
          <w:b w:val="0"/>
          <w:i w:val="0"/>
          <w:sz w:val="17"/>
        </w:rPr>
        <w:t>sold_energy_mwh</w:t>
      </w:r>
      <w:r>
        <w:rPr>
          <w:b w:val="0"/>
          <w:i w:val="0"/>
        </w:rPr>
        <w:t xml:space="preserve">，将参考持有时间保存为 </w:t>
      </w:r>
      <w:r>
        <w:rPr>
          <w:rFonts w:ascii="DejaVu Sans Mono" w:hAnsi="DejaVu Sans Mono"/>
          <w:b w:val="0"/>
          <w:i w:val="0"/>
          <w:sz w:val="17"/>
        </w:rPr>
        <w:t>average_dwell_periods</w:t>
      </w:r>
      <w:r>
        <w:rPr>
          <w:b w:val="0"/>
          <w:i w:val="0"/>
        </w:rPr>
        <w:t>；</w:t>
      </w:r>
      <w:r>
        <w:rPr>
          <w:rFonts w:ascii="DejaVu Sans Mono" w:hAnsi="DejaVu Sans Mono"/>
          <w:b w:val="0"/>
          <w:i w:val="0"/>
          <w:sz w:val="17"/>
        </w:rPr>
        <w:t>previous</w:t>
      </w:r>
      <w:r>
        <w:rPr>
          <w:b w:val="0"/>
          <w:i w:val="0"/>
        </w:rPr>
        <w:t xml:space="preserve"> 保存上一年观察值。选出的 </w:t>
      </w:r>
      <w:r>
        <w:rPr>
          <w:rFonts w:ascii="DejaVu Sans Mono" w:hAnsi="DejaVu Sans Mono"/>
          <w:b w:val="0"/>
          <w:i w:val="0"/>
          <w:sz w:val="17"/>
        </w:rPr>
        <w:t>basis_sold</w:t>
      </w:r>
      <w:r>
        <w:rPr>
          <w:b w:val="0"/>
          <w:i w:val="0"/>
        </w:rPr>
        <w:t xml:space="preserve"> 以 MWh 计，</w:t>
      </w:r>
      <w:r>
        <w:rPr>
          <w:rFonts w:ascii="DejaVu Sans Mono" w:hAnsi="DejaVu Sans Mono"/>
          <w:b w:val="0"/>
          <w:i w:val="0"/>
          <w:sz w:val="17"/>
        </w:rPr>
        <w:t>average_dwell</w:t>
      </w:r>
      <w:r>
        <w:rPr>
          <w:b w:val="0"/>
          <w:i w:val="0"/>
        </w:rPr>
        <w:t xml:space="preserve"> 为输出 MWh 加权的持有时段数：</w:t>
      </w:r>
    </w:p>
    <w:p>
      <w:pPr>
        <w:keepLines/>
        <w:spacing w:line="276" w:lineRule="auto" w:after="160"/>
      </w:pPr>
      <w:r>
        <w:rPr>
          <w:rFonts w:ascii="DejaVu Sans Mono" w:hAnsi="DejaVu Sans Mono"/>
          <w:b w:val="0"/>
          <w:i w:val="0"/>
          <w:sz w:val="17"/>
        </w:rPr>
        <w:t>observed = previous</w:t>
        <w:br/>
        <w:t>minimum_sold = reference.sold_​energy_​mwh * max(utilisation_floor, 0)</w:t>
        <w:br/>
        <w:t>if observed.sold_​energy_​mwh &gt; 0:</w:t>
        <w:br/>
        <w:t xml:space="preserve">    basis_sold = max(observed.sold_​energy_​mwh, minimum_sold)</w:t>
        <w:br/>
        <w:t xml:space="preserve">    average_dwell = max(observed.average_​dwell_​periods, 2)</w:t>
        <w:br/>
        <w:t>else:</w:t>
        <w:br/>
        <w:t xml:space="preserve">    basis_sold = reference.sold_​energy_​mwh</w:t>
        <w:br/>
        <w:t xml:space="preserve">    average_dwell = reference.average_​dwell_​periods</w:t>
        <w:br/>
      </w:r>
    </w:p>
    <w:p>
      <w:r>
        <w:rPr>
          <w:b w:val="0"/>
          <w:i w:val="0"/>
        </w:rPr>
        <w:t xml:space="preserve">默认 </w:t>
      </w:r>
      <w:r>
        <w:rPr>
          <w:rFonts w:ascii="DejaVu Sans Mono" w:hAnsi="DejaVu Sans Mono"/>
          <w:b w:val="0"/>
          <w:i w:val="0"/>
          <w:sz w:val="17"/>
        </w:rPr>
        <w:t>utilisation_floor=0</w:t>
      </w:r>
      <w:r>
        <w:rPr>
          <w:b w:val="0"/>
          <w:i w:val="0"/>
        </w:rPr>
        <w:t>、</w:t>
      </w:r>
      <w:r>
        <w:rPr>
          <w:rFonts w:ascii="DejaVu Sans Mono" w:hAnsi="DejaVu Sans Mono"/>
          <w:b w:val="0"/>
          <w:i w:val="0"/>
          <w:sz w:val="17"/>
        </w:rPr>
        <w:t>discount_rate=0.05</w:t>
      </w:r>
      <w:r>
        <w:rPr>
          <w:b w:val="0"/>
          <w:i w:val="0"/>
        </w:rPr>
        <w:t>。电池按输出 MWh 回收循环折旧，抽水蓄能和氢储能的循环折旧分量为零。</w:t>
      </w:r>
    </w:p>
    <w:p>
      <w:pPr>
        <w:keepLines/>
        <w:spacing w:line="276" w:lineRule="auto" w:after="160"/>
      </w:pPr>
      <w:r>
        <w:rPr>
          <w:rFonts w:ascii="DejaVu Sans Mono" w:hAnsi="DejaVu Sans Mono"/>
          <w:b w:val="0"/>
          <w:i w:val="0"/>
          <w:sz w:val="17"/>
        </w:rPr>
        <w:t>usable_cycle_output = energy_capacity_mwh * discharge_efficiency</w:t>
        <w:br/>
        <w:t>cycle_​depreciation_​gbp_​per_​mwh = (</w:t>
        <w:br/>
        <w:t xml:space="preserve">    capex / (usable_cycle_output * spec.maximum_cycles))</w:t>
        <w:br/>
        <w:t>expected_cycle_recovery = cycle_​depreciation_​gbp_​per_​mwh * basis_sold</w:t>
        <w:br/>
        <w:t>remaining_​annual_​recovery = max(</w:t>
        <w:br/>
        <w:t xml:space="preserve">    annual_​levelized_​project_​cost_​gbp - expected_​cycle_​recovery, 0)</w:t>
        <w:br/>
        <w:t>weighted_basis = basis_sold * max(average_dwell, 1)</w:t>
        <w:br/>
        <w:t>holding_​recovery_​gbp_​per_​mwh_​period = (</w:t>
        <w:br/>
        <w:t xml:space="preserve">    remaining_​annual_​recovery / weighted_basis)</w:t>
        <w:br/>
      </w:r>
    </w:p>
    <w:p>
      <w:r>
        <w:rPr>
          <w:b w:val="0"/>
          <w:i w:val="0"/>
        </w:rPr>
        <w:t xml:space="preserve">当 </w:t>
      </w:r>
      <w:r>
        <w:rPr>
          <w:rFonts w:ascii="DejaVu Sans Mono" w:hAnsi="DejaVu Sans Mono"/>
          <w:b w:val="0"/>
          <w:i w:val="0"/>
          <w:sz w:val="17"/>
        </w:rPr>
        <w:t>has_cycle_depreciation</w:t>
      </w:r>
      <w:r>
        <w:rPr>
          <w:b w:val="0"/>
          <w:i w:val="0"/>
        </w:rPr>
        <w:t xml:space="preserve"> 为假或分母任一因子为零时，循环折旧项为零；当 </w:t>
      </w:r>
      <w:r>
        <w:rPr>
          <w:rFonts w:ascii="DejaVu Sans Mono" w:hAnsi="DejaVu Sans Mono"/>
          <w:b w:val="0"/>
          <w:i w:val="0"/>
          <w:sz w:val="17"/>
        </w:rPr>
        <w:t>weighted_basis=0</w:t>
      </w:r>
      <w:r>
        <w:rPr>
          <w:b w:val="0"/>
          <w:i w:val="0"/>
        </w:rPr>
        <w:t xml:space="preserve"> 时，持有回收项为零。Native 采用 </w:t>
      </w:r>
      <w:r>
        <w:rPr>
          <w:rFonts w:ascii="DejaVu Sans Mono" w:hAnsi="DejaVu Sans Mono"/>
          <w:b w:val="0"/>
          <w:i w:val="0"/>
          <w:sz w:val="17"/>
        </w:rPr>
        <w:t>cycle_only</w:t>
      </w:r>
      <w:r>
        <w:rPr>
          <w:b w:val="0"/>
          <w:i w:val="0"/>
        </w:rPr>
        <w:t xml:space="preserve"> 报价设定，</w:t>
      </w:r>
      <w:r>
        <w:rPr>
          <w:rFonts w:ascii="DejaVu Sans Mono" w:hAnsi="DejaVu Sans Mono"/>
          <w:b w:val="0"/>
          <w:i w:val="0"/>
          <w:sz w:val="17"/>
        </w:rPr>
        <w:t>bid_price_gbp_per_mwh</w:t>
      </w:r>
      <w:r>
        <w:rPr>
          <w:b w:val="0"/>
          <w:i w:val="0"/>
        </w:rPr>
        <w:t xml:space="preserve"> 返回 </w:t>
      </w:r>
      <w:r>
        <w:rPr>
          <w:rFonts w:ascii="DejaVu Sans Mono" w:hAnsi="DejaVu Sans Mono"/>
          <w:b w:val="0"/>
          <w:i w:val="0"/>
          <w:sz w:val="17"/>
        </w:rPr>
        <w:t>cycle_​depreciation_​gbp_​per_​mwh</w:t>
      </w:r>
      <w:r>
        <w:rPr>
          <w:b w:val="0"/>
          <w:i w:val="0"/>
        </w:rPr>
        <w:t>：三类电池按循环损耗报价，抽水蓄能与氢储能报价为零。同价储能批次按充电顺序释放，最早存入者先放电。</w:t>
      </w:r>
    </w:p>
    <w:p>
      <w:r>
        <w:rPr>
          <w:b w:val="0"/>
          <w:i w:val="0"/>
        </w:rPr>
        <w:t xml:space="preserve">储能成本计算同时给出每个持有时段的回收率。线性持有报价为 </w:t>
      </w:r>
      <w:r>
        <w:rPr>
          <w:rFonts w:ascii="DejaVu Sans Mono" w:hAnsi="DejaVu Sans Mono"/>
          <w:b w:val="0"/>
          <w:i w:val="0"/>
          <w:sz w:val="17"/>
        </w:rPr>
        <w:t>cycle_​depreciation_​gbp_​per_​mwh + max(dwell_​periods,0)×holding_​recovery_​gbp_​per_​mwh_​period</w:t>
      </w:r>
      <w:r>
        <w:rPr>
          <w:b w:val="0"/>
          <w:i w:val="0"/>
        </w:rPr>
        <w:t xml:space="preserve">。分阶段调度传入 </w:t>
      </w:r>
      <w:r>
        <w:rPr>
          <w:rFonts w:ascii="DejaVu Sans Mono" w:hAnsi="DejaVu Sans Mono"/>
          <w:b w:val="0"/>
          <w:i w:val="0"/>
          <w:sz w:val="17"/>
        </w:rPr>
        <w:t>dwell_periods=0</w:t>
      </w:r>
      <w:r>
        <w:rPr>
          <w:b w:val="0"/>
          <w:i w:val="0"/>
        </w:rPr>
        <w:t>，相应持有报价项为零。目录提供第 2 章所列寿命、循环与维护参数；固定维护费为抽水蓄能 13.4 GBP/kW/年、三类电池 6.6 GBP/kW/年、氢储能 19.7 GBP/kW/年。</w:t>
      </w:r>
    </w:p>
    <w:p>
      <w:r>
        <w:rPr>
          <w:b w:val="0"/>
          <w:i w:val="0"/>
        </w:rPr>
        <w:t>售电记录形成下一年的成本计算基础。</w:t>
      </w:r>
      <w:r>
        <w:rPr>
          <w:rFonts w:ascii="DejaVu Sans Mono" w:hAnsi="DejaVu Sans Mono"/>
          <w:b w:val="0"/>
          <w:i w:val="0"/>
          <w:sz w:val="17"/>
        </w:rPr>
        <w:t>record_sale</w:t>
      </w:r>
      <w:r>
        <w:rPr>
          <w:b w:val="0"/>
          <w:i w:val="0"/>
        </w:rPr>
        <w:t xml:space="preserve"> 接收交付电量及从充电到放电经过的时段数，在 </w:t>
      </w:r>
      <w:r>
        <w:rPr>
          <w:rFonts w:ascii="DejaVu Sans Mono" w:hAnsi="DejaVu Sans Mono"/>
          <w:b w:val="0"/>
          <w:i w:val="0"/>
          <w:sz w:val="17"/>
        </w:rPr>
        <w:t>current</w:t>
      </w:r>
      <w:r>
        <w:rPr>
          <w:b w:val="0"/>
          <w:i w:val="0"/>
        </w:rPr>
        <w:t xml:space="preserve"> 中累计售电量与售电量加权持有时间。销量为正时，</w:t>
      </w:r>
      <w:r>
        <w:rPr>
          <w:rFonts w:ascii="DejaVu Sans Mono" w:hAnsi="DejaVu Sans Mono"/>
          <w:b w:val="0"/>
          <w:i w:val="0"/>
          <w:sz w:val="17"/>
        </w:rPr>
        <w:t>average_dwell_periods</w:t>
      </w:r>
      <w:r>
        <w:rPr>
          <w:b w:val="0"/>
          <w:i w:val="0"/>
        </w:rPr>
        <w:t xml:space="preserve"> 等于加权总量除以销量；销量为零时取零：</w:t>
      </w:r>
    </w:p>
    <w:p>
      <w:pPr>
        <w:keepLines/>
        <w:spacing w:line="276" w:lineRule="auto" w:after="160"/>
      </w:pPr>
      <w:r>
        <w:rPr>
          <w:rFonts w:ascii="DejaVu Sans Mono" w:hAnsi="DejaVu Sans Mono"/>
          <w:b w:val="0"/>
          <w:i w:val="0"/>
          <w:sz w:val="17"/>
        </w:rPr>
        <w:t>delivered = max(delivered_mwh, 0)</w:t>
        <w:br/>
        <w:t>dwell = max(dwell_periods, 0)</w:t>
        <w:br/>
        <w:t>current.sold_energy_mwh += delivered</w:t>
        <w:br/>
        <w:t>current.dwell_​weighted_​sold_​mwh_​periods += delivered * dwell</w:t>
        <w:br/>
      </w:r>
    </w:p>
    <w:p>
      <w:r>
        <w:rPr>
          <w:b w:val="0"/>
          <w:i w:val="0"/>
        </w:rPr>
        <w:t>年末，</w:t>
      </w:r>
      <w:r>
        <w:rPr>
          <w:rFonts w:ascii="DejaVu Sans Mono" w:hAnsi="DejaVu Sans Mono"/>
          <w:b w:val="0"/>
          <w:i w:val="0"/>
          <w:sz w:val="17"/>
        </w:rPr>
        <w:t>storage_​cost_​observations</w:t>
      </w:r>
      <w:r>
        <w:rPr>
          <w:b w:val="0"/>
          <w:i w:val="0"/>
        </w:rPr>
        <w:t xml:space="preserve"> 按储能代理保存这些量。下一年度准备将其作为 </w:t>
      </w:r>
      <w:r>
        <w:rPr>
          <w:rFonts w:ascii="DejaVu Sans Mono" w:hAnsi="DejaVu Sans Mono"/>
          <w:b w:val="0"/>
          <w:i w:val="0"/>
          <w:sz w:val="17"/>
        </w:rPr>
        <w:t>previous</w:t>
      </w:r>
      <w:r>
        <w:rPr>
          <w:b w:val="0"/>
          <w:i w:val="0"/>
        </w:rPr>
        <w:t xml:space="preserve">，计算新的成本回收量，并将 </w:t>
      </w:r>
      <w:r>
        <w:rPr>
          <w:rFonts w:ascii="DejaVu Sans Mono" w:hAnsi="DejaVu Sans Mono"/>
          <w:b w:val="0"/>
          <w:i w:val="0"/>
          <w:sz w:val="17"/>
        </w:rPr>
        <w:t>current</w:t>
      </w:r>
      <w:r>
        <w:rPr>
          <w:b w:val="0"/>
          <w:i w:val="0"/>
        </w:rPr>
        <w:t xml:space="preserve"> 清零。观察值用于成本计算，物理库存按上文初值与调度递推更新。</w:t>
      </w:r>
    </w:p>
    <w:p>
      <w:pPr>
        <w:pStyle w:val="Heading1"/>
      </w:pPr>
      <w:r>
        <w:rPr>
          <w:b w:val="0"/>
          <w:i w:val="0"/>
        </w:rPr>
        <w:t>5 全国市场出清</w:t>
      </w:r>
    </w:p>
    <w:p>
      <w:r>
        <w:rPr>
          <w:b w:val="0"/>
          <w:i w:val="0"/>
        </w:rPr>
        <w:t xml:space="preserve">全国市场在每个半小时先出清预测需求，再按实际需求完成平衡。默认模块 </w:t>
      </w:r>
      <w:r>
        <w:rPr>
          <w:rFonts w:ascii="DejaVu Sans Mono" w:hAnsi="DejaVu Sans Mono"/>
          <w:b w:val="0"/>
          <w:i w:val="0"/>
          <w:sz w:val="17"/>
        </w:rPr>
        <w:t>value-bid-at-cost-psm</w:t>
      </w:r>
      <w:r>
        <w:rPr>
          <w:b w:val="0"/>
          <w:i w:val="0"/>
        </w:rPr>
        <w:t xml:space="preserve"> 采用 </w:t>
      </w:r>
      <w:r>
        <w:rPr>
          <w:rFonts w:ascii="DejaVu Sans Mono" w:hAnsi="DejaVu Sans Mono"/>
          <w:b w:val="0"/>
          <w:i w:val="0"/>
          <w:sz w:val="17"/>
        </w:rPr>
        <w:t>native-corrected-v1</w:t>
      </w:r>
      <w:r>
        <w:rPr>
          <w:b w:val="0"/>
          <w:i w:val="0"/>
        </w:rPr>
        <w:t>：发电和进口报出可用功率，储能报出满足条件的库存批次，最终调度更新下一期的物理状态。</w:t>
      </w:r>
    </w:p>
    <w:p>
      <w:pPr>
        <w:pStyle w:val="Heading2"/>
      </w:pPr>
      <w:r>
        <w:rPr>
          <w:b w:val="0"/>
          <w:i w:val="0"/>
        </w:rPr>
        <w:t>输入、代理与可用出力</w:t>
      </w:r>
    </w:p>
    <w:p>
      <w:r>
        <w:rPr>
          <w:b w:val="0"/>
          <w:i w:val="0"/>
        </w:rPr>
        <w:t>调度量以 MW 表示，</w:t>
      </w:r>
      <w:r>
        <w:rPr>
          <w:rFonts w:ascii="DejaVu Sans Mono" w:hAnsi="DejaVu Sans Mono"/>
          <w:b w:val="0"/>
          <w:i w:val="0"/>
          <w:sz w:val="17"/>
        </w:rPr>
        <w:t>period_hours = 0.5</w:t>
      </w:r>
      <w:r>
        <w:rPr>
          <w:b w:val="0"/>
          <w:i w:val="0"/>
        </w:rPr>
        <w:t xml:space="preserve">。变量 </w:t>
      </w:r>
      <w:r>
        <w:rPr>
          <w:rFonts w:ascii="DejaVu Sans Mono" w:hAnsi="DejaVu Sans Mono"/>
          <w:b w:val="0"/>
          <w:i w:val="0"/>
          <w:sz w:val="17"/>
        </w:rPr>
        <w:t>forecast_demand</w:t>
      </w:r>
      <w:r>
        <w:rPr>
          <w:b w:val="0"/>
          <w:i w:val="0"/>
        </w:rPr>
        <w:t>、</w:t>
      </w:r>
      <w:r>
        <w:rPr>
          <w:rFonts w:ascii="DejaVu Sans Mono" w:hAnsi="DejaVu Sans Mono"/>
          <w:b w:val="0"/>
          <w:i w:val="0"/>
          <w:sz w:val="17"/>
        </w:rPr>
        <w:t>real_demand</w:t>
      </w:r>
      <w:r>
        <w:rPr>
          <w:b w:val="0"/>
          <w:i w:val="0"/>
        </w:rPr>
        <w:t>、</w:t>
      </w:r>
      <w:r>
        <w:rPr>
          <w:rFonts w:ascii="DejaVu Sans Mono" w:hAnsi="DejaVu Sans Mono"/>
          <w:b w:val="0"/>
          <w:i w:val="0"/>
          <w:sz w:val="17"/>
        </w:rPr>
        <w:t>capacity_limit</w:t>
      </w:r>
      <w:r>
        <w:rPr>
          <w:b w:val="0"/>
          <w:i w:val="0"/>
        </w:rPr>
        <w:t>、</w:t>
      </w:r>
      <w:r>
        <w:rPr>
          <w:rFonts w:ascii="DejaVu Sans Mono" w:hAnsi="DejaVu Sans Mono"/>
          <w:b w:val="0"/>
          <w:i w:val="0"/>
          <w:sz w:val="17"/>
        </w:rPr>
        <w:t>real_gen_energy</w:t>
      </w:r>
      <w:r>
        <w:rPr>
          <w:b w:val="0"/>
          <w:i w:val="0"/>
        </w:rPr>
        <w:t xml:space="preserve"> 和 </w:t>
      </w:r>
      <w:r>
        <w:rPr>
          <w:rFonts w:ascii="DejaVu Sans Mono" w:hAnsi="DejaVu Sans Mono"/>
          <w:b w:val="0"/>
          <w:i w:val="0"/>
          <w:sz w:val="17"/>
        </w:rPr>
        <w:t>alter_limit</w:t>
      </w:r>
      <w:r>
        <w:rPr>
          <w:b w:val="0"/>
          <w:i w:val="0"/>
        </w:rPr>
        <w:t xml:space="preserve"> 分别表示预测需求、实际需求、可用出力、实际出力和每期爬坡额度；机组下标为 </w:t>
      </w:r>
      <w:r>
        <w:drawing>
          <wp:inline xmlns:a="http://schemas.openxmlformats.org/drawingml/2006/main" xmlns:pic="http://schemas.openxmlformats.org/drawingml/2006/picture">
            <wp:extent cx="54552" cy="107006"/>
            <wp:docPr id="35" name="Picture 35"/>
            <wp:cNvGraphicFramePr>
              <a:graphicFrameLocks noChangeAspect="1"/>
            </wp:cNvGraphicFramePr>
            <a:graphic>
              <a:graphicData uri="http://schemas.openxmlformats.org/drawingml/2006/picture">
                <pic:pic>
                  <pic:nvPicPr>
                    <pic:cNvPr id="0" name="eq-035.png"/>
                    <pic:cNvPicPr/>
                  </pic:nvPicPr>
                  <pic:blipFill>
                    <a:blip r:embed="rId45"/>
                    <a:stretch>
                      <a:fillRect/>
                    </a:stretch>
                  </pic:blipFill>
                  <pic:spPr>
                    <a:xfrm>
                      <a:off x="0" y="0"/>
                      <a:ext cx="54552" cy="107006"/>
                    </a:xfrm>
                    <a:prstGeom prst="rect"/>
                  </pic:spPr>
                </pic:pic>
              </a:graphicData>
            </a:graphic>
          </wp:inline>
        </w:drawing>
      </w:r>
      <w:r>
        <w:rPr>
          <w:b w:val="0"/>
          <w:i w:val="0"/>
        </w:rPr>
        <w:t xml:space="preserve">⁠，时段下标为 </w:t>
      </w:r>
      <w:r>
        <w:drawing>
          <wp:inline xmlns:a="http://schemas.openxmlformats.org/drawingml/2006/main" xmlns:pic="http://schemas.openxmlformats.org/drawingml/2006/picture">
            <wp:extent cx="57067" cy="101452"/>
            <wp:docPr id="36" name="Picture 36"/>
            <wp:cNvGraphicFramePr>
              <a:graphicFrameLocks noChangeAspect="1"/>
            </wp:cNvGraphicFramePr>
            <a:graphic>
              <a:graphicData uri="http://schemas.openxmlformats.org/drawingml/2006/picture">
                <pic:pic>
                  <pic:nvPicPr>
                    <pic:cNvPr id="0" name="eq-036.png"/>
                    <pic:cNvPicPr/>
                  </pic:nvPicPr>
                  <pic:blipFill>
                    <a:blip r:embed="rId46"/>
                    <a:stretch>
                      <a:fillRect/>
                    </a:stretch>
                  </pic:blipFill>
                  <pic:spPr>
                    <a:xfrm>
                      <a:off x="0" y="0"/>
                      <a:ext cx="57067" cy="101452"/>
                    </a:xfrm>
                    <a:prstGeom prst="rect"/>
                  </pic:spPr>
                </pic:pic>
              </a:graphicData>
            </a:graphic>
          </wp:inline>
        </w:drawing>
      </w:r>
      <w:r>
        <w:rPr>
          <w:b w:val="0"/>
          <w:i w:val="0"/>
        </w:rPr>
        <w:t xml:space="preserve">⁠，其他资产下标在相应计算处定义。UTC 模型年含 17,520 期。Native 内核读取以 MW 表示的需求，在电量输出和结算时将接纳功率乘 </w:t>
      </w:r>
      <w:r>
        <w:rPr>
          <w:rFonts w:ascii="DejaVu Sans Mono" w:hAnsi="DejaVu Sans Mono"/>
          <w:b w:val="0"/>
          <w:i w:val="0"/>
          <w:sz w:val="17"/>
        </w:rPr>
        <w:t>period_hours</w:t>
      </w:r>
      <w:r>
        <w:rPr>
          <w:b w:val="0"/>
          <w:i w:val="0"/>
        </w:rPr>
        <w:t>。</w:t>
      </w:r>
      <w:r>
        <w:rPr>
          <w:rFonts w:ascii="DejaVu Sans Mono" w:hAnsi="DejaVu Sans Mono"/>
          <w:b w:val="0"/>
          <w:i w:val="0"/>
          <w:sz w:val="17"/>
        </w:rPr>
        <w:t>canonical_psm_data.py</w:t>
      </w:r>
      <w:r>
        <w:rPr>
          <w:b w:val="0"/>
          <w:i w:val="0"/>
        </w:rPr>
        <w:t xml:space="preserve"> 的 chronology 接口按第 2 章规则向分阶段与优化模块提供期间 MWh。</w:t>
      </w:r>
    </w:p>
    <w:p>
      <w:pPr>
        <w:keepNext/>
      </w:pPr>
      <w:r>
        <w:rPr>
          <w:b w:val="0"/>
          <w:i w:val="0"/>
        </w:rPr>
        <w:t xml:space="preserve">发电报价由运行费用和取决于上期接纳集合的启动加价构成。燃气和生物质采用 </w:t>
      </w:r>
      <w:r>
        <w:rPr>
          <w:rFonts w:ascii="DejaVu Sans Mono" w:hAnsi="DejaVu Sans Mono"/>
          <w:b w:val="0"/>
          <w:i w:val="0"/>
          <w:sz w:val="17"/>
        </w:rPr>
        <w:t>gen_cost + fuel_cost + carbon_price + unit_time_cost</w:t>
      </w:r>
      <w:r>
        <w:rPr>
          <w:b w:val="0"/>
          <w:i w:val="0"/>
        </w:rPr>
        <w:t xml:space="preserve">；核电、风光和天然水电采用 </w:t>
      </w:r>
      <w:r>
        <w:rPr>
          <w:rFonts w:ascii="DejaVu Sans Mono" w:hAnsi="DejaVu Sans Mono"/>
          <w:b w:val="0"/>
          <w:i w:val="0"/>
          <w:sz w:val="17"/>
        </w:rPr>
        <w:t>gen_cost + unit_time_cost</w:t>
      </w:r>
      <w:r>
        <w:rPr>
          <w:b w:val="0"/>
          <w:i w:val="0"/>
        </w:rPr>
        <w:t xml:space="preserve">。输入行的费用相加后写入运行对象的 </w:t>
      </w:r>
      <w:r>
        <w:rPr>
          <w:rFonts w:ascii="DejaVu Sans Mono" w:hAnsi="DejaVu Sans Mono"/>
          <w:b w:val="0"/>
          <w:i w:val="0"/>
          <w:sz w:val="17"/>
        </w:rPr>
        <w:t>gen_cost</w:t>
      </w:r>
      <w:r>
        <w:rPr>
          <w:b w:val="0"/>
          <w:i w:val="0"/>
        </w:rPr>
        <w:t>，单位为 GBP/MWh；</w:t>
      </w:r>
      <w:r>
        <w:rPr>
          <w:rFonts w:ascii="DejaVu Sans Mono" w:hAnsi="DejaVu Sans Mono"/>
          <w:b w:val="0"/>
          <w:i w:val="0"/>
          <w:sz w:val="17"/>
        </w:rPr>
        <w:t>carbon_price</w:t>
      </w:r>
      <w:r>
        <w:rPr>
          <w:b w:val="0"/>
          <w:i w:val="0"/>
        </w:rPr>
        <w:t xml:space="preserve"> 已表示每 MWh 发电的费用。设报价倍率为 </w:t>
      </w:r>
      <w:r>
        <w:drawing>
          <wp:inline xmlns:a="http://schemas.openxmlformats.org/drawingml/2006/main" xmlns:pic="http://schemas.openxmlformats.org/drawingml/2006/picture">
            <wp:extent cx="997318" cy="144569"/>
            <wp:docPr id="37" name="Picture 37"/>
            <wp:cNvGraphicFramePr>
              <a:graphicFrameLocks noChangeAspect="1"/>
            </wp:cNvGraphicFramePr>
            <a:graphic>
              <a:graphicData uri="http://schemas.openxmlformats.org/drawingml/2006/picture">
                <pic:pic>
                  <pic:nvPicPr>
                    <pic:cNvPr id="0" name="eq-037.png"/>
                    <pic:cNvPicPr/>
                  </pic:nvPicPr>
                  <pic:blipFill>
                    <a:blip r:embed="rId47"/>
                    <a:stretch>
                      <a:fillRect/>
                    </a:stretch>
                  </pic:blipFill>
                  <pic:spPr>
                    <a:xfrm>
                      <a:off x="0" y="0"/>
                      <a:ext cx="997318" cy="144569"/>
                    </a:xfrm>
                    <a:prstGeom prst="rect"/>
                  </pic:spPr>
                </pic:pic>
              </a:graphicData>
            </a:graphic>
          </wp:inline>
        </w:drawing>
      </w:r>
      <w:r>
        <w:rPr>
          <w:b w:val="0"/>
          <w:i w:val="0"/>
        </w:rPr>
        <w:t xml:space="preserve">⁠、综合运行费用为 </w:t>
      </w:r>
      <w:r>
        <w:drawing>
          <wp:inline xmlns:a="http://schemas.openxmlformats.org/drawingml/2006/main" xmlns:pic="http://schemas.openxmlformats.org/drawingml/2006/picture">
            <wp:extent cx="640664" cy="136089"/>
            <wp:docPr id="38" name="Picture 38"/>
            <wp:cNvGraphicFramePr>
              <a:graphicFrameLocks noChangeAspect="1"/>
            </wp:cNvGraphicFramePr>
            <a:graphic>
              <a:graphicData uri="http://schemas.openxmlformats.org/drawingml/2006/picture">
                <pic:pic>
                  <pic:nvPicPr>
                    <pic:cNvPr id="0" name="eq-038.png"/>
                    <pic:cNvPicPr/>
                  </pic:nvPicPr>
                  <pic:blipFill>
                    <a:blip r:embed="rId48"/>
                    <a:stretch>
                      <a:fillRect/>
                    </a:stretch>
                  </pic:blipFill>
                  <pic:spPr>
                    <a:xfrm>
                      <a:off x="0" y="0"/>
                      <a:ext cx="640664" cy="136089"/>
                    </a:xfrm>
                    <a:prstGeom prst="rect"/>
                  </pic:spPr>
                </pic:pic>
              </a:graphicData>
            </a:graphic>
          </wp:inline>
        </w:drawing>
      </w:r>
      <w:r>
        <w:rPr>
          <w:b w:val="0"/>
          <w:i w:val="0"/>
        </w:rPr>
        <w:t xml:space="preserve">⁠、启动加价为 </w:t>
      </w:r>
      <w:r>
        <w:drawing>
          <wp:inline xmlns:a="http://schemas.openxmlformats.org/drawingml/2006/main" xmlns:pic="http://schemas.openxmlformats.org/drawingml/2006/picture">
            <wp:extent cx="905535" cy="134153"/>
            <wp:docPr id="39" name="Picture 39"/>
            <wp:cNvGraphicFramePr>
              <a:graphicFrameLocks noChangeAspect="1"/>
            </wp:cNvGraphicFramePr>
            <a:graphic>
              <a:graphicData uri="http://schemas.openxmlformats.org/drawingml/2006/picture">
                <pic:pic>
                  <pic:nvPicPr>
                    <pic:cNvPr id="0" name="eq-039.png"/>
                    <pic:cNvPicPr/>
                  </pic:nvPicPr>
                  <pic:blipFill>
                    <a:blip r:embed="rId49"/>
                    <a:stretch>
                      <a:fillRect/>
                    </a:stretch>
                  </pic:blipFill>
                  <pic:spPr>
                    <a:xfrm>
                      <a:off x="0" y="0"/>
                      <a:ext cx="905535" cy="134153"/>
                    </a:xfrm>
                    <a:prstGeom prst="rect"/>
                  </pic:spPr>
                </pic:pic>
              </a:graphicData>
            </a:graphic>
          </wp:inline>
        </w:drawing>
      </w:r>
      <w:r>
        <w:rPr>
          <w:b w:val="0"/>
          <w:i w:val="0"/>
        </w:rPr>
        <w:t>⁠，则</w:t>
      </w:r>
    </w:p>
    <w:p>
      <w:pPr>
        <w:spacing w:after="160"/>
        <w:jc w:val="center"/>
      </w:pPr>
      <w:r>
        <w:drawing>
          <wp:inline xmlns:a="http://schemas.openxmlformats.org/drawingml/2006/main" xmlns:pic="http://schemas.openxmlformats.org/drawingml/2006/picture">
            <wp:extent cx="4312310" cy="423000"/>
            <wp:docPr id="40" name="Picture 40"/>
            <wp:cNvGraphicFramePr>
              <a:graphicFrameLocks noChangeAspect="1"/>
            </wp:cNvGraphicFramePr>
            <a:graphic>
              <a:graphicData uri="http://schemas.openxmlformats.org/drawingml/2006/picture">
                <pic:pic>
                  <pic:nvPicPr>
                    <pic:cNvPr id="0" name="eq-040.png"/>
                    <pic:cNvPicPr/>
                  </pic:nvPicPr>
                  <pic:blipFill>
                    <a:blip r:embed="rId50"/>
                    <a:stretch>
                      <a:fillRect/>
                    </a:stretch>
                  </pic:blipFill>
                  <pic:spPr>
                    <a:xfrm>
                      <a:off x="0" y="0"/>
                      <a:ext cx="4312310" cy="423000"/>
                    </a:xfrm>
                    <a:prstGeom prst="rect"/>
                  </pic:spPr>
                </pic:pic>
              </a:graphicData>
            </a:graphic>
          </wp:inline>
        </w:drawing>
      </w:r>
    </w:p>
    <w:p>
      <w:r>
        <w:rPr>
          <w:b w:val="0"/>
          <w:i w:val="0"/>
        </w:rPr>
        <w:t>报价倍率默认取 1，水电与风光的启动加价为零。GB 输入行中，生物质综合费用为 0.2 + 80 + 4.8 = 85 GBP/MWh，启动加价为 83 GBP/MWh；CCGT 和 OCGT 的综合费用分别为 55.07 和 74.92 GBP/MWh。生物质收入按市场结算计量。</w:t>
      </w:r>
    </w:p>
    <w:p>
      <w:pPr>
        <w:keepNext/>
      </w:pPr>
      <w:r>
        <w:rPr>
          <w:b w:val="0"/>
          <w:i w:val="0"/>
        </w:rPr>
        <w:t>年度适配器先按名称、再按技术与标准化区域，将在运和当年投运资产映射到市场代理。多个候选依次采用已映射容量、构造器容量或等份作为权重。</w:t>
      </w:r>
      <w:r>
        <w:rPr>
          <w:rFonts w:ascii="DejaVu Sans Mono" w:hAnsi="DejaVu Sans Mono"/>
          <w:b w:val="0"/>
          <w:i w:val="0"/>
          <w:sz w:val="17"/>
        </w:rPr>
        <w:t>weights</w:t>
      </w:r>
      <w:r>
        <w:rPr>
          <w:b w:val="0"/>
          <w:i w:val="0"/>
        </w:rPr>
        <w:t xml:space="preserve"> 与 </w:t>
      </w:r>
      <w:r>
        <w:rPr>
          <w:rFonts w:ascii="DejaVu Sans Mono" w:hAnsi="DejaVu Sans Mono"/>
          <w:b w:val="0"/>
          <w:i w:val="0"/>
          <w:sz w:val="17"/>
        </w:rPr>
        <w:t>total_weight</w:t>
      </w:r>
      <w:r>
        <w:rPr>
          <w:b w:val="0"/>
          <w:i w:val="0"/>
        </w:rPr>
        <w:t xml:space="preserve"> 将资产的 </w:t>
      </w:r>
      <w:r>
        <w:rPr>
          <w:rFonts w:ascii="DejaVu Sans Mono" w:hAnsi="DejaVu Sans Mono"/>
          <w:b w:val="0"/>
          <w:i w:val="0"/>
          <w:sz w:val="17"/>
        </w:rPr>
        <w:t>capacity_mw</w:t>
      </w:r>
      <w:r>
        <w:rPr>
          <w:b w:val="0"/>
          <w:i w:val="0"/>
        </w:rPr>
        <w:t xml:space="preserve"> 分配至 </w:t>
      </w:r>
      <w:r>
        <w:rPr>
          <w:rFonts w:ascii="DejaVu Sans Mono" w:hAnsi="DejaVu Sans Mono"/>
          <w:b w:val="0"/>
          <w:i w:val="0"/>
          <w:sz w:val="17"/>
        </w:rPr>
        <w:t>generator_sources</w:t>
      </w:r>
      <w:r>
        <w:rPr>
          <w:b w:val="0"/>
          <w:i w:val="0"/>
        </w:rPr>
        <w:t xml:space="preserve">，这些容量均以 MW 计量，其中 </w:t>
      </w:r>
      <w:r>
        <w:drawing>
          <wp:inline xmlns:a="http://schemas.openxmlformats.org/drawingml/2006/main" xmlns:pic="http://schemas.openxmlformats.org/drawingml/2006/picture">
            <wp:extent cx="65100" cy="136500"/>
            <wp:docPr id="41" name="Picture 41"/>
            <wp:cNvGraphicFramePr>
              <a:graphicFrameLocks noChangeAspect="1"/>
            </wp:cNvGraphicFramePr>
            <a:graphic>
              <a:graphicData uri="http://schemas.openxmlformats.org/drawingml/2006/picture">
                <pic:pic>
                  <pic:nvPicPr>
                    <pic:cNvPr id="0" name="eq-041.png"/>
                    <pic:cNvPicPr/>
                  </pic:nvPicPr>
                  <pic:blipFill>
                    <a:blip r:embed="rId51"/>
                    <a:stretch>
                      <a:fillRect/>
                    </a:stretch>
                  </pic:blipFill>
                  <pic:spPr>
                    <a:xfrm>
                      <a:off x="0" y="0"/>
                      <a:ext cx="65100" cy="136500"/>
                    </a:xfrm>
                    <a:prstGeom prst="rect"/>
                  </pic:spPr>
                </pic:pic>
              </a:graphicData>
            </a:graphic>
          </wp:inline>
        </w:drawing>
      </w:r>
      <w:r>
        <w:rPr>
          <w:b w:val="0"/>
          <w:i w:val="0"/>
        </w:rPr>
        <w:t xml:space="preserve"> 表示市场代理，</w:t>
      </w:r>
      <w:r>
        <w:drawing>
          <wp:inline xmlns:a="http://schemas.openxmlformats.org/drawingml/2006/main" xmlns:pic="http://schemas.openxmlformats.org/drawingml/2006/picture">
            <wp:extent cx="83610" cy="71068"/>
            <wp:docPr id="42" name="Picture 42"/>
            <wp:cNvGraphicFramePr>
              <a:graphicFrameLocks noChangeAspect="1"/>
            </wp:cNvGraphicFramePr>
            <a:graphic>
              <a:graphicData uri="http://schemas.openxmlformats.org/drawingml/2006/picture">
                <pic:pic>
                  <pic:nvPicPr>
                    <pic:cNvPr id="0" name="eq-042.png"/>
                    <pic:cNvPicPr/>
                  </pic:nvPicPr>
                  <pic:blipFill>
                    <a:blip r:embed="rId52"/>
                    <a:stretch>
                      <a:fillRect/>
                    </a:stretch>
                  </pic:blipFill>
                  <pic:spPr>
                    <a:xfrm>
                      <a:off x="0" y="0"/>
                      <a:ext cx="83610" cy="71068"/>
                    </a:xfrm>
                    <a:prstGeom prst="rect"/>
                  </pic:spPr>
                </pic:pic>
              </a:graphicData>
            </a:graphic>
          </wp:inline>
        </w:drawing>
      </w:r>
      <w:r>
        <w:rPr>
          <w:b w:val="0"/>
          <w:i w:val="0"/>
        </w:rPr>
        <w:t xml:space="preserve"> 表示资产。</w:t>
      </w:r>
      <w:r>
        <w:rPr>
          <w:rFonts w:ascii="DejaVu Sans Mono" w:hAnsi="DejaVu Sans Mono"/>
          <w:b w:val="0"/>
          <w:i w:val="0"/>
          <w:sz w:val="17"/>
        </w:rPr>
        <w:t>_​allocate_​runtime_​income</w:t>
      </w:r>
      <w:r>
        <w:rPr>
          <w:b w:val="0"/>
          <w:i w:val="0"/>
        </w:rPr>
        <w:t xml:space="preserve"> 再按分配容量，将 </w:t>
      </w:r>
      <w:r>
        <w:rPr>
          <w:rFonts w:ascii="DejaVu Sans Mono" w:hAnsi="DejaVu Sans Mono"/>
          <w:b w:val="0"/>
          <w:i w:val="0"/>
          <w:sz w:val="17"/>
        </w:rPr>
        <w:t>raw_income</w:t>
      </w:r>
      <w:r>
        <w:rPr>
          <w:b w:val="0"/>
          <w:i w:val="0"/>
        </w:rPr>
        <w:t xml:space="preserve"> 分到资产账户 </w:t>
      </w:r>
      <w:r>
        <w:rPr>
          <w:rFonts w:ascii="DejaVu Sans Mono" w:hAnsi="DejaVu Sans Mono"/>
          <w:b w:val="0"/>
          <w:i w:val="0"/>
          <w:sz w:val="17"/>
        </w:rPr>
        <w:t>allocated</w:t>
      </w:r>
      <w:r>
        <w:rPr>
          <w:b w:val="0"/>
          <w:i w:val="0"/>
        </w:rPr>
        <w:t>，二者均以 GBP 计量：</w:t>
      </w:r>
    </w:p>
    <w:p>
      <w:pPr>
        <w:spacing w:after="160"/>
        <w:jc w:val="center"/>
      </w:pPr>
      <w:r>
        <w:drawing>
          <wp:inline xmlns:a="http://schemas.openxmlformats.org/drawingml/2006/main" xmlns:pic="http://schemas.openxmlformats.org/drawingml/2006/picture">
            <wp:extent cx="4706493" cy="1142907"/>
            <wp:docPr id="43" name="Picture 43"/>
            <wp:cNvGraphicFramePr>
              <a:graphicFrameLocks noChangeAspect="1"/>
            </wp:cNvGraphicFramePr>
            <a:graphic>
              <a:graphicData uri="http://schemas.openxmlformats.org/drawingml/2006/picture">
                <pic:pic>
                  <pic:nvPicPr>
                    <pic:cNvPr id="0" name="eq-043.png"/>
                    <pic:cNvPicPr/>
                  </pic:nvPicPr>
                  <pic:blipFill>
                    <a:blip r:embed="rId53"/>
                    <a:stretch>
                      <a:fillRect/>
                    </a:stretch>
                  </pic:blipFill>
                  <pic:spPr>
                    <a:xfrm>
                      <a:off x="0" y="0"/>
                      <a:ext cx="4706493" cy="1142907"/>
                    </a:xfrm>
                    <a:prstGeom prst="rect"/>
                  </pic:spPr>
                </pic:pic>
              </a:graphicData>
            </a:graphic>
          </wp:inline>
        </w:drawing>
      </w:r>
    </w:p>
    <w:p>
      <w:r>
        <w:rPr>
          <w:b w:val="0"/>
          <w:i w:val="0"/>
        </w:rPr>
        <w:t xml:space="preserve">风电采用 20 MW 参考机组和 </w:t>
      </w:r>
      <w:r>
        <w:drawing>
          <wp:inline xmlns:a="http://schemas.openxmlformats.org/drawingml/2006/main" xmlns:pic="http://schemas.openxmlformats.org/drawingml/2006/picture">
            <wp:extent cx="1196041" cy="180139"/>
            <wp:docPr id="44" name="Picture 44"/>
            <wp:cNvGraphicFramePr>
              <a:graphicFrameLocks noChangeAspect="1"/>
            </wp:cNvGraphicFramePr>
            <a:graphic>
              <a:graphicData uri="http://schemas.openxmlformats.org/drawingml/2006/picture">
                <pic:pic>
                  <pic:nvPicPr>
                    <pic:cNvPr id="0" name="eq-044.png"/>
                    <pic:cNvPicPr/>
                  </pic:nvPicPr>
                  <pic:blipFill>
                    <a:blip r:embed="rId54"/>
                    <a:stretch>
                      <a:fillRect/>
                    </a:stretch>
                  </pic:blipFill>
                  <pic:spPr>
                    <a:xfrm>
                      <a:off x="0" y="0"/>
                      <a:ext cx="1196041" cy="180139"/>
                    </a:xfrm>
                    <a:prstGeom prst="rect"/>
                  </pic:spPr>
                </pic:pic>
              </a:graphicData>
            </a:graphic>
          </wp:inline>
        </w:drawing>
      </w:r>
      <w:r>
        <w:rPr>
          <w:b w:val="0"/>
          <w:i w:val="0"/>
        </w:rPr>
        <w:t xml:space="preserve"> 倍率，光伏采用 1 MW 参考机组和 </w:t>
      </w:r>
      <w:r>
        <w:drawing>
          <wp:inline xmlns:a="http://schemas.openxmlformats.org/drawingml/2006/main" xmlns:pic="http://schemas.openxmlformats.org/drawingml/2006/picture">
            <wp:extent cx="958970" cy="165411"/>
            <wp:docPr id="45" name="Picture 45"/>
            <wp:cNvGraphicFramePr>
              <a:graphicFrameLocks noChangeAspect="1"/>
            </wp:cNvGraphicFramePr>
            <a:graphic>
              <a:graphicData uri="http://schemas.openxmlformats.org/drawingml/2006/picture">
                <pic:pic>
                  <pic:nvPicPr>
                    <pic:cNvPr id="0" name="eq-045.png"/>
                    <pic:cNvPicPr/>
                  </pic:nvPicPr>
                  <pic:blipFill>
                    <a:blip r:embed="rId55"/>
                    <a:stretch>
                      <a:fillRect/>
                    </a:stretch>
                  </pic:blipFill>
                  <pic:spPr>
                    <a:xfrm>
                      <a:off x="0" y="0"/>
                      <a:ext cx="958970" cy="165411"/>
                    </a:xfrm>
                    <a:prstGeom prst="rect"/>
                  </pic:spPr>
                </pic:pic>
              </a:graphicData>
            </a:graphic>
          </wp:inline>
        </w:drawing>
      </w:r>
      <w:r>
        <w:rPr>
          <w:b w:val="0"/>
          <w:i w:val="0"/>
        </w:rPr>
        <w:t xml:space="preserve"> 倍率，储能功率与能量按技术聚合。</w:t>
      </w:r>
      <w:r>
        <w:rPr>
          <w:rFonts w:ascii="DejaVu Sans Mono" w:hAnsi="DejaVu Sans Mono"/>
          <w:b w:val="0"/>
          <w:i w:val="0"/>
          <w:sz w:val="17"/>
        </w:rPr>
        <w:t>scheme_c_native_psm.py</w:t>
      </w:r>
      <w:r>
        <w:rPr>
          <w:b w:val="0"/>
          <w:i w:val="0"/>
        </w:rPr>
        <w:t xml:space="preserve"> 每年建立代理，并恢复上一年售电量及按售电量加权的持有时间，用于计算报价。每年创建的储能代理采用空的 </w:t>
      </w:r>
      <w:r>
        <w:rPr>
          <w:rFonts w:ascii="DejaVu Sans Mono" w:hAnsi="DejaVu Sans Mono"/>
          <w:b w:val="0"/>
          <w:i w:val="0"/>
          <w:sz w:val="17"/>
        </w:rPr>
        <w:t>stored_energy</w:t>
      </w:r>
      <w:r>
        <w:rPr>
          <w:b w:val="0"/>
          <w:i w:val="0"/>
        </w:rPr>
        <w:t xml:space="preserve">；上一年期末库存作为丢弃电量记入 </w:t>
      </w:r>
      <w:r>
        <w:rPr>
          <w:rFonts w:ascii="DejaVu Sans Mono" w:hAnsi="DejaVu Sans Mono"/>
          <w:b w:val="0"/>
          <w:i w:val="0"/>
          <w:sz w:val="17"/>
        </w:rPr>
        <w:t>storage_year_boundary</w:t>
      </w:r>
      <w:r>
        <w:rPr>
          <w:b w:val="0"/>
          <w:i w:val="0"/>
        </w:rPr>
        <w:t>。</w:t>
      </w:r>
    </w:p>
    <w:p>
      <w:pPr>
        <w:keepNext/>
      </w:pPr>
      <w:r>
        <w:rPr>
          <w:b w:val="0"/>
          <w:i w:val="0"/>
        </w:rPr>
        <w:t>风光可用出力采用与标准输入适配器相同的逐期数组。</w:t>
      </w:r>
      <w:r>
        <w:rPr>
          <w:rFonts w:ascii="DejaVu Sans Mono" w:hAnsi="DejaVu Sans Mono"/>
          <w:b w:val="0"/>
          <w:i w:val="0"/>
          <w:sz w:val="17"/>
        </w:rPr>
        <w:t>site_​weather.site_​cf_​by_​source</w:t>
      </w:r>
      <w:r>
        <w:rPr>
          <w:b w:val="0"/>
          <w:i w:val="0"/>
        </w:rPr>
        <w:t xml:space="preserve"> 执行第 3 章的天气、损耗及组件平面辐照换算，</w:t>
      </w:r>
      <w:r>
        <w:rPr>
          <w:rFonts w:ascii="DejaVu Sans Mono" w:hAnsi="DejaVu Sans Mono"/>
          <w:b w:val="0"/>
          <w:i w:val="0"/>
          <w:sz w:val="17"/>
        </w:rPr>
        <w:t>kernel_​injection.KernelSiteInputs</w:t>
      </w:r>
      <w:r>
        <w:rPr>
          <w:b w:val="0"/>
          <w:i w:val="0"/>
        </w:rPr>
        <w:t xml:space="preserve"> 将容量因子 </w:t>
      </w:r>
      <w:r>
        <w:drawing>
          <wp:inline xmlns:a="http://schemas.openxmlformats.org/drawingml/2006/main" xmlns:pic="http://schemas.openxmlformats.org/drawingml/2006/picture">
            <wp:extent cx="249085" cy="156986"/>
            <wp:docPr id="46" name="Picture 46"/>
            <wp:cNvGraphicFramePr>
              <a:graphicFrameLocks noChangeAspect="1"/>
            </wp:cNvGraphicFramePr>
            <a:graphic>
              <a:graphicData uri="http://schemas.openxmlformats.org/drawingml/2006/picture">
                <pic:pic>
                  <pic:nvPicPr>
                    <pic:cNvPr id="0" name="eq-046.png"/>
                    <pic:cNvPicPr/>
                  </pic:nvPicPr>
                  <pic:blipFill>
                    <a:blip r:embed="rId56"/>
                    <a:stretch>
                      <a:fillRect/>
                    </a:stretch>
                  </pic:blipFill>
                  <pic:spPr>
                    <a:xfrm>
                      <a:off x="0" y="0"/>
                      <a:ext cx="249085" cy="156986"/>
                    </a:xfrm>
                    <a:prstGeom prst="rect"/>
                  </pic:spPr>
                </pic:pic>
              </a:graphicData>
            </a:graphic>
          </wp:inline>
        </w:drawing>
      </w:r>
      <w:r>
        <w:rPr>
          <w:b w:val="0"/>
          <w:i w:val="0"/>
        </w:rPr>
        <w:t xml:space="preserve"> 传入内核：</w:t>
      </w:r>
    </w:p>
    <w:p>
      <w:pPr>
        <w:spacing w:after="160"/>
        <w:jc w:val="center"/>
      </w:pPr>
      <w:r>
        <w:drawing>
          <wp:inline xmlns:a="http://schemas.openxmlformats.org/drawingml/2006/main" xmlns:pic="http://schemas.openxmlformats.org/drawingml/2006/picture">
            <wp:extent cx="2930728" cy="187456"/>
            <wp:docPr id="47" name="Picture 47"/>
            <wp:cNvGraphicFramePr>
              <a:graphicFrameLocks noChangeAspect="1"/>
            </wp:cNvGraphicFramePr>
            <a:graphic>
              <a:graphicData uri="http://schemas.openxmlformats.org/drawingml/2006/picture">
                <pic:pic>
                  <pic:nvPicPr>
                    <pic:cNvPr id="0" name="eq-047.png"/>
                    <pic:cNvPicPr/>
                  </pic:nvPicPr>
                  <pic:blipFill>
                    <a:blip r:embed="rId57"/>
                    <a:stretch>
                      <a:fillRect/>
                    </a:stretch>
                  </pic:blipFill>
                  <pic:spPr>
                    <a:xfrm>
                      <a:off x="0" y="0"/>
                      <a:ext cx="2930728" cy="187456"/>
                    </a:xfrm>
                    <a:prstGeom prst="rect"/>
                  </pic:spPr>
                </pic:pic>
              </a:graphicData>
            </a:graphic>
          </wp:inline>
        </w:drawing>
      </w:r>
    </w:p>
    <w:p>
      <w:pPr>
        <w:keepNext/>
      </w:pPr>
      <w:r>
        <w:rPr>
          <w:b w:val="0"/>
          <w:i w:val="0"/>
        </w:rPr>
        <w:t>核电可用率在换算模型容量时保留各站 PRIS 参考出力。</w:t>
      </w:r>
      <w:r>
        <w:rPr>
          <w:rFonts w:ascii="DejaVu Sans Mono" w:hAnsi="DejaVu Sans Mono"/>
          <w:b w:val="0"/>
          <w:i w:val="0"/>
          <w:sz w:val="17"/>
        </w:rPr>
        <w:t>nuclear_load_factor</w:t>
      </w:r>
      <w:r>
        <w:rPr>
          <w:b w:val="0"/>
          <w:i w:val="0"/>
        </w:rPr>
        <w:t xml:space="preserve"> 读取 </w:t>
      </w:r>
      <w:r>
        <w:rPr>
          <w:rFonts w:ascii="DejaVu Sans Mono" w:hAnsi="DejaVu Sans Mono"/>
          <w:b w:val="0"/>
          <w:i w:val="0"/>
          <w:sz w:val="17"/>
        </w:rPr>
        <w:t>pris_load_factor</w:t>
      </w:r>
      <w:r>
        <w:rPr>
          <w:b w:val="0"/>
          <w:i w:val="0"/>
        </w:rPr>
        <w:t>、</w:t>
      </w:r>
      <w:r>
        <w:rPr>
          <w:rFonts w:ascii="DejaVu Sans Mono" w:hAnsi="DejaVu Sans Mono"/>
          <w:b w:val="0"/>
          <w:i w:val="0"/>
          <w:sz w:val="17"/>
        </w:rPr>
        <w:t>pris_reference_mw</w:t>
      </w:r>
      <w:r>
        <w:rPr>
          <w:b w:val="0"/>
          <w:i w:val="0"/>
        </w:rPr>
        <w:t xml:space="preserve"> 和 </w:t>
      </w:r>
      <w:r>
        <w:rPr>
          <w:rFonts w:ascii="DejaVu Sans Mono" w:hAnsi="DejaVu Sans Mono"/>
          <w:b w:val="0"/>
          <w:i w:val="0"/>
          <w:sz w:val="17"/>
        </w:rPr>
        <w:t>capacity_mw</w:t>
      </w:r>
      <w:r>
        <w:rPr>
          <w:b w:val="0"/>
          <w:i w:val="0"/>
        </w:rPr>
        <w:t>；</w:t>
      </w:r>
      <w:r>
        <w:rPr>
          <w:rFonts w:ascii="DejaVu Sans Mono" w:hAnsi="DejaVu Sans Mono"/>
          <w:b w:val="0"/>
          <w:i w:val="0"/>
          <w:sz w:val="17"/>
        </w:rPr>
        <w:t>generation_end_period</w:t>
      </w:r>
      <w:r>
        <w:rPr>
          <w:b w:val="0"/>
          <w:i w:val="0"/>
        </w:rPr>
        <w:t xml:space="preserve"> 给出宣布停发月份后第一期 </w:t>
      </w:r>
      <w:r>
        <w:rPr>
          <w:rFonts w:ascii="DejaVu Sans Mono" w:hAnsi="DejaVu Sans Mono"/>
          <w:b w:val="0"/>
          <w:i w:val="0"/>
          <w:sz w:val="17"/>
        </w:rPr>
        <w:t>end</w:t>
      </w:r>
      <w:r>
        <w:rPr>
          <w:b w:val="0"/>
          <w:i w:val="0"/>
        </w:rPr>
        <w:t xml:space="preserve">，全年可用的电站在各期保留该负荷率。以 </w:t>
      </w:r>
      <w:r>
        <w:drawing>
          <wp:inline xmlns:a="http://schemas.openxmlformats.org/drawingml/2006/main" xmlns:pic="http://schemas.openxmlformats.org/drawingml/2006/picture">
            <wp:extent cx="94786" cy="71616"/>
            <wp:docPr id="48" name="Picture 48"/>
            <wp:cNvGraphicFramePr>
              <a:graphicFrameLocks noChangeAspect="1"/>
            </wp:cNvGraphicFramePr>
            <a:graphic>
              <a:graphicData uri="http://schemas.openxmlformats.org/drawingml/2006/picture">
                <pic:pic>
                  <pic:nvPicPr>
                    <pic:cNvPr id="0" name="eq-048.png"/>
                    <pic:cNvPicPr/>
                  </pic:nvPicPr>
                  <pic:blipFill>
                    <a:blip r:embed="rId58"/>
                    <a:stretch>
                      <a:fillRect/>
                    </a:stretch>
                  </pic:blipFill>
                  <pic:spPr>
                    <a:xfrm>
                      <a:off x="0" y="0"/>
                      <a:ext cx="94786" cy="71616"/>
                    </a:xfrm>
                    <a:prstGeom prst="rect"/>
                  </pic:spPr>
                </pic:pic>
              </a:graphicData>
            </a:graphic>
          </wp:inline>
        </w:drawing>
      </w:r>
      <w:r>
        <w:rPr>
          <w:b w:val="0"/>
          <w:i w:val="0"/>
        </w:rPr>
        <w:t xml:space="preserve"> 为电站下标，</w:t>
      </w:r>
      <w:r>
        <w:rPr>
          <w:rFonts w:ascii="DejaVu Sans Mono" w:hAnsi="DejaVu Sans Mono"/>
          <w:b w:val="0"/>
          <w:i w:val="0"/>
          <w:sz w:val="17"/>
        </w:rPr>
        <w:t>asset_availability</w:t>
      </w:r>
      <w:r>
        <w:rPr>
          <w:b w:val="0"/>
          <w:i w:val="0"/>
        </w:rPr>
        <w:t xml:space="preserve"> 生成各站数组 </w:t>
      </w:r>
      <w:r>
        <w:rPr>
          <w:rFonts w:ascii="DejaVu Sans Mono" w:hAnsi="DejaVu Sans Mono"/>
          <w:b w:val="0"/>
          <w:i w:val="0"/>
          <w:sz w:val="17"/>
        </w:rPr>
        <w:t>values</w:t>
      </w:r>
      <w:r>
        <w:rPr>
          <w:b w:val="0"/>
          <w:i w:val="0"/>
        </w:rPr>
        <w:t>，</w:t>
      </w:r>
      <w:r>
        <w:rPr>
          <w:rFonts w:ascii="DejaVu Sans Mono" w:hAnsi="DejaVu Sans Mono"/>
          <w:b w:val="0"/>
          <w:i w:val="0"/>
          <w:sz w:val="17"/>
        </w:rPr>
        <w:t>kernel_availability</w:t>
      </w:r>
      <w:r>
        <w:rPr>
          <w:b w:val="0"/>
          <w:i w:val="0"/>
        </w:rPr>
        <w:t xml:space="preserve"> 按容量合并：</w:t>
      </w:r>
    </w:p>
    <w:p>
      <w:pPr>
        <w:spacing w:after="160"/>
        <w:jc w:val="center"/>
      </w:pPr>
      <w:r>
        <w:drawing>
          <wp:inline xmlns:a="http://schemas.openxmlformats.org/drawingml/2006/main" xmlns:pic="http://schemas.openxmlformats.org/drawingml/2006/picture">
            <wp:extent cx="5863513" cy="1547602"/>
            <wp:docPr id="49" name="Picture 49"/>
            <wp:cNvGraphicFramePr>
              <a:graphicFrameLocks noChangeAspect="1"/>
            </wp:cNvGraphicFramePr>
            <a:graphic>
              <a:graphicData uri="http://schemas.openxmlformats.org/drawingml/2006/picture">
                <pic:pic>
                  <pic:nvPicPr>
                    <pic:cNvPr id="0" name="eq-049.png"/>
                    <pic:cNvPicPr/>
                  </pic:nvPicPr>
                  <pic:blipFill>
                    <a:blip r:embed="rId59"/>
                    <a:stretch>
                      <a:fillRect/>
                    </a:stretch>
                  </pic:blipFill>
                  <pic:spPr>
                    <a:xfrm>
                      <a:off x="0" y="0"/>
                      <a:ext cx="5863513" cy="1547602"/>
                    </a:xfrm>
                    <a:prstGeom prst="rect"/>
                  </pic:spPr>
                </pic:pic>
              </a:graphicData>
            </a:graphic>
          </wp:inline>
        </w:drawing>
      </w:r>
    </w:p>
    <w:p>
      <w:r>
        <w:rPr>
          <w:b w:val="0"/>
          <w:i w:val="0"/>
        </w:rPr>
        <w:t>2019–2024 年固定平均负荷率为 Heysham 1 的 0.668、Hartlepool 的 0.689、Heysham 2 的 0.752、Torness 的 0.792 和 Sizewell B 的 0.801。具有电站政策的输入将四座 AGR 的可用率从 2030 年第 4,320 期，即 4 月 1 日 00:00 UTC 起设为零；Sizewell B 在声明的退役年之前保持全年覆盖。回退负荷率分别为新建 PWR/EPR 的 0.801、未指定 AGR 的 0.727、全国合并核电资产的 0.723。GBP1 public2 采用 VALUE-UK 核电电站政策（</w:t>
      </w:r>
      <w:r>
        <w:rPr>
          <w:rFonts w:ascii="DejaVu Sans Mono" w:hAnsi="DejaVu Sans Mono"/>
          <w:b w:val="0"/>
          <w:i w:val="0"/>
          <w:sz w:val="17"/>
        </w:rPr>
        <w:t>value_​uk_​nuclear_​policy_​v1.json</w:t>
      </w:r>
      <w:r>
        <w:rPr>
          <w:b w:val="0"/>
          <w:i w:val="0"/>
        </w:rPr>
        <w:t xml:space="preserve">：五座 EDF 电站及其宣布的停发时间），其机组输入表只有一行合并核电；R029 保留全国合并资产，在全国调度中采用 0.723。参数由 </w:t>
      </w:r>
      <w:r>
        <w:rPr>
          <w:rFonts w:ascii="DejaVu Sans Mono" w:hAnsi="DejaVu Sans Mono"/>
          <w:b w:val="0"/>
          <w:i w:val="0"/>
          <w:sz w:val="17"/>
        </w:rPr>
        <w:t>value_​uk_​firm_​availability_​v1.json</w:t>
      </w:r>
      <w:r>
        <w:rPr>
          <w:b w:val="0"/>
          <w:i w:val="0"/>
        </w:rPr>
        <w:t xml:space="preserve"> 与 </w:t>
      </w:r>
      <w:r>
        <w:rPr>
          <w:rFonts w:ascii="DejaVu Sans Mono" w:hAnsi="DejaVu Sans Mono"/>
          <w:b w:val="0"/>
          <w:i w:val="0"/>
          <w:sz w:val="17"/>
        </w:rPr>
        <w:t>firm_availability.py</w:t>
      </w:r>
      <w:r>
        <w:rPr>
          <w:b w:val="0"/>
          <w:i w:val="0"/>
        </w:rPr>
        <w:t xml:space="preserve"> 提供。</w:t>
      </w:r>
    </w:p>
    <w:p>
      <w:pPr>
        <w:keepNext/>
      </w:pPr>
      <w:r>
        <w:rPr>
          <w:b w:val="0"/>
          <w:i w:val="0"/>
        </w:rPr>
        <w:t>径流水电采用 DUKES 6.3 平均年负荷率，并结合 Energy Trends 季度数据形成的月度形状：</w:t>
      </w:r>
    </w:p>
    <w:p>
      <w:pPr>
        <w:spacing w:after="160"/>
        <w:jc w:val="center"/>
      </w:pPr>
      <w:r>
        <w:drawing>
          <wp:inline xmlns:a="http://schemas.openxmlformats.org/drawingml/2006/main" xmlns:pic="http://schemas.openxmlformats.org/drawingml/2006/picture">
            <wp:extent cx="3600373" cy="192020"/>
            <wp:docPr id="50" name="Picture 50"/>
            <wp:cNvGraphicFramePr>
              <a:graphicFrameLocks noChangeAspect="1"/>
            </wp:cNvGraphicFramePr>
            <a:graphic>
              <a:graphicData uri="http://schemas.openxmlformats.org/drawingml/2006/picture">
                <pic:pic>
                  <pic:nvPicPr>
                    <pic:cNvPr id="0" name="eq-050.png"/>
                    <pic:cNvPicPr/>
                  </pic:nvPicPr>
                  <pic:blipFill>
                    <a:blip r:embed="rId60"/>
                    <a:stretch>
                      <a:fillRect/>
                    </a:stretch>
                  </pic:blipFill>
                  <pic:spPr>
                    <a:xfrm>
                      <a:off x="0" y="0"/>
                      <a:ext cx="3600373" cy="192020"/>
                    </a:xfrm>
                    <a:prstGeom prst="rect"/>
                  </pic:spPr>
                </pic:pic>
              </a:graphicData>
            </a:graphic>
          </wp:inline>
        </w:drawing>
      </w:r>
    </w:p>
    <w:p>
      <w:pPr>
        <w:spacing w:after="160"/>
        <w:jc w:val="center"/>
      </w:pPr>
      <w:r>
        <w:drawing>
          <wp:inline xmlns:a="http://schemas.openxmlformats.org/drawingml/2006/main" xmlns:pic="http://schemas.openxmlformats.org/drawingml/2006/picture">
            <wp:extent cx="4766614" cy="395503"/>
            <wp:docPr id="51" name="Picture 51"/>
            <wp:cNvGraphicFramePr>
              <a:graphicFrameLocks noChangeAspect="1"/>
            </wp:cNvGraphicFramePr>
            <a:graphic>
              <a:graphicData uri="http://schemas.openxmlformats.org/drawingml/2006/picture">
                <pic:pic>
                  <pic:nvPicPr>
                    <pic:cNvPr id="0" name="eq-051.png"/>
                    <pic:cNvPicPr/>
                  </pic:nvPicPr>
                  <pic:blipFill>
                    <a:blip r:embed="rId61"/>
                    <a:stretch>
                      <a:fillRect/>
                    </a:stretch>
                  </pic:blipFill>
                  <pic:spPr>
                    <a:xfrm>
                      <a:off x="0" y="0"/>
                      <a:ext cx="4766614" cy="395503"/>
                    </a:xfrm>
                    <a:prstGeom prst="rect"/>
                  </pic:spPr>
                </pic:pic>
              </a:graphicData>
            </a:graphic>
          </wp:inline>
        </w:drawing>
      </w:r>
    </w:p>
    <w:p>
      <w:r>
        <w:rPr>
          <w:b w:val="0"/>
          <w:i w:val="0"/>
        </w:rPr>
        <w:t>形状的月度算术均值为 1，按 365 天加权的均值为 0.99883，对应模型年可用率 0.3483。核电与水电在各模型年采用这些固定曲线。</w:t>
      </w:r>
    </w:p>
    <w:p>
      <w:r>
        <w:rPr>
          <w:b w:val="0"/>
          <w:i w:val="0"/>
        </w:rPr>
        <w:t xml:space="preserve">核电在年初设为在运，属于 </w:t>
      </w:r>
      <w:r>
        <w:drawing>
          <wp:inline xmlns:a="http://schemas.openxmlformats.org/drawingml/2006/main" xmlns:pic="http://schemas.openxmlformats.org/drawingml/2006/picture">
            <wp:extent cx="1561426" cy="155095"/>
            <wp:docPr id="52" name="Picture 52"/>
            <wp:cNvGraphicFramePr>
              <a:graphicFrameLocks noChangeAspect="1"/>
            </wp:cNvGraphicFramePr>
            <a:graphic>
              <a:graphicData uri="http://schemas.openxmlformats.org/drawingml/2006/picture">
                <pic:pic>
                  <pic:nvPicPr>
                    <pic:cNvPr id="0" name="eq-052.png"/>
                    <pic:cNvPicPr/>
                  </pic:nvPicPr>
                  <pic:blipFill>
                    <a:blip r:embed="rId62"/>
                    <a:stretch>
                      <a:fillRect/>
                    </a:stretch>
                  </pic:blipFill>
                  <pic:spPr>
                    <a:xfrm>
                      <a:off x="0" y="0"/>
                      <a:ext cx="1561426" cy="155095"/>
                    </a:xfrm>
                    <a:prstGeom prst="rect"/>
                  </pic:spPr>
                </pic:pic>
              </a:graphicData>
            </a:graphic>
          </wp:inline>
        </w:drawing>
      </w:r>
      <w:r>
        <w:rPr>
          <w:b w:val="0"/>
          <w:i w:val="0"/>
        </w:rPr>
        <w:t xml:space="preserve">⁠；燃气与生物质位于该集合之外。机组参数行给出初始 </w:t>
      </w:r>
      <w:r>
        <w:rPr>
          <w:rFonts w:ascii="DejaVu Sans Mono" w:hAnsi="DejaVu Sans Mono"/>
          <w:b w:val="0"/>
          <w:i w:val="0"/>
          <w:sz w:val="17"/>
        </w:rPr>
        <w:t>real_gen_energy</w:t>
      </w:r>
      <w:r>
        <w:rPr>
          <w:b w:val="0"/>
          <w:i w:val="0"/>
        </w:rPr>
        <w:t xml:space="preserve">，核电将其设为 </w:t>
      </w:r>
      <w:r>
        <w:rPr>
          <w:rFonts w:ascii="DejaVu Sans Mono" w:hAnsi="DejaVu Sans Mono"/>
          <w:b w:val="0"/>
          <w:i w:val="0"/>
          <w:sz w:val="17"/>
        </w:rPr>
        <w:t>capacity_limit</w:t>
      </w:r>
      <w:r>
        <w:rPr>
          <w:b w:val="0"/>
          <w:i w:val="0"/>
        </w:rPr>
        <w:t xml:space="preserve">。水电与生物质的 </w:t>
      </w:r>
      <w:r>
        <w:rPr>
          <w:rFonts w:ascii="DejaVu Sans Mono" w:hAnsi="DejaVu Sans Mono"/>
          <w:b w:val="0"/>
          <w:i w:val="0"/>
          <w:sz w:val="17"/>
        </w:rPr>
        <w:t>have_gen_energy</w:t>
      </w:r>
      <w:r>
        <w:rPr>
          <w:b w:val="0"/>
          <w:i w:val="0"/>
        </w:rPr>
        <w:t xml:space="preserve"> 初始化为各自的 </w:t>
      </w:r>
      <w:r>
        <w:rPr>
          <w:rFonts w:ascii="DejaVu Sans Mono" w:hAnsi="DejaVu Sans Mono"/>
          <w:b w:val="0"/>
          <w:i w:val="0"/>
          <w:sz w:val="17"/>
        </w:rPr>
        <w:t>real_gen_energy</w:t>
      </w:r>
      <w:r>
        <w:rPr>
          <w:b w:val="0"/>
          <w:i w:val="0"/>
        </w:rPr>
        <w:t xml:space="preserve">，随后每期将 </w:t>
      </w:r>
      <w:r>
        <w:rPr>
          <w:rFonts w:ascii="DejaVu Sans Mono" w:hAnsi="DejaVu Sans Mono"/>
          <w:b w:val="0"/>
          <w:i w:val="0"/>
          <w:sz w:val="17"/>
        </w:rPr>
        <w:t>add_energy</w:t>
      </w:r>
      <w:r>
        <w:rPr>
          <w:b w:val="0"/>
          <w:i w:val="0"/>
        </w:rPr>
        <w:t xml:space="preserve"> 加入 </w:t>
      </w:r>
      <w:r>
        <w:rPr>
          <w:rFonts w:ascii="DejaVu Sans Mono" w:hAnsi="DejaVu Sans Mono"/>
          <w:b w:val="0"/>
          <w:i w:val="0"/>
          <w:sz w:val="17"/>
        </w:rPr>
        <w:t>energy_limit</w:t>
      </w:r>
      <w:r>
        <w:rPr>
          <w:b w:val="0"/>
          <w:i w:val="0"/>
        </w:rPr>
        <w:t xml:space="preserve">，按剩余预算接纳发电，并将下调量返回预算。预算量采用 MW·时段，乘 </w:t>
      </w:r>
      <w:r>
        <w:rPr>
          <w:rFonts w:ascii="DejaVu Sans Mono" w:hAnsi="DejaVu Sans Mono"/>
          <w:b w:val="0"/>
          <w:i w:val="0"/>
          <w:sz w:val="17"/>
        </w:rPr>
        <w:t>period_hours</w:t>
      </w:r>
      <w:r>
        <w:rPr>
          <w:b w:val="0"/>
          <w:i w:val="0"/>
        </w:rPr>
        <w:t xml:space="preserve"> 后得到 MWh。</w:t>
      </w:r>
    </w:p>
    <w:p>
      <w:pPr>
        <w:pStyle w:val="Heading2"/>
      </w:pPr>
      <w:r>
        <w:rPr>
          <w:b w:val="0"/>
          <w:i w:val="0"/>
        </w:rPr>
        <w:t>储能报价与期间头寸</w:t>
      </w:r>
    </w:p>
    <w:p>
      <w:pPr>
        <w:keepNext/>
      </w:pPr>
      <w:r>
        <w:rPr>
          <w:b w:val="0"/>
          <w:i w:val="0"/>
        </w:rPr>
        <w:t xml:space="preserve">储能代理将各充电期的内部 MWh 记入以充电期 </w:t>
      </w:r>
      <w:r>
        <w:drawing>
          <wp:inline xmlns:a="http://schemas.openxmlformats.org/drawingml/2006/main" xmlns:pic="http://schemas.openxmlformats.org/drawingml/2006/picture">
            <wp:extent cx="82353" cy="111916"/>
            <wp:docPr id="53" name="Picture 53"/>
            <wp:cNvGraphicFramePr>
              <a:graphicFrameLocks noChangeAspect="1"/>
            </wp:cNvGraphicFramePr>
            <a:graphic>
              <a:graphicData uri="http://schemas.openxmlformats.org/drawingml/2006/picture">
                <pic:pic>
                  <pic:nvPicPr>
                    <pic:cNvPr id="0" name="eq-053.png"/>
                    <pic:cNvPicPr/>
                  </pic:nvPicPr>
                  <pic:blipFill>
                    <a:blip r:embed="rId63"/>
                    <a:stretch>
                      <a:fillRect/>
                    </a:stretch>
                  </pic:blipFill>
                  <pic:spPr>
                    <a:xfrm>
                      <a:off x="0" y="0"/>
                      <a:ext cx="82353" cy="111916"/>
                    </a:xfrm>
                    <a:prstGeom prst="rect"/>
                  </pic:spPr>
                </pic:pic>
              </a:graphicData>
            </a:graphic>
          </wp:inline>
        </w:drawing>
      </w:r>
      <w:r>
        <w:rPr>
          <w:b w:val="0"/>
          <w:i w:val="0"/>
        </w:rPr>
        <w:t xml:space="preserve"> 为索引的 </w:t>
      </w:r>
      <w:r>
        <w:rPr>
          <w:rFonts w:ascii="DejaVu Sans Mono" w:hAnsi="DejaVu Sans Mono"/>
          <w:b w:val="0"/>
          <w:i w:val="0"/>
          <w:sz w:val="17"/>
        </w:rPr>
        <w:t>stored_energy</w:t>
      </w:r>
      <w:r>
        <w:rPr>
          <w:b w:val="0"/>
          <w:i w:val="0"/>
        </w:rPr>
        <w:t>，</w:t>
      </w:r>
      <w:r>
        <w:drawing>
          <wp:inline xmlns:a="http://schemas.openxmlformats.org/drawingml/2006/main" xmlns:pic="http://schemas.openxmlformats.org/drawingml/2006/picture">
            <wp:extent cx="57067" cy="101452"/>
            <wp:docPr id="54" name="Picture 54"/>
            <wp:cNvGraphicFramePr>
              <a:graphicFrameLocks noChangeAspect="1"/>
            </wp:cNvGraphicFramePr>
            <a:graphic>
              <a:graphicData uri="http://schemas.openxmlformats.org/drawingml/2006/picture">
                <pic:pic>
                  <pic:nvPicPr>
                    <pic:cNvPr id="0" name="eq-036.png"/>
                    <pic:cNvPicPr/>
                  </pic:nvPicPr>
                  <pic:blipFill>
                    <a:blip r:embed="rId46"/>
                    <a:stretch>
                      <a:fillRect/>
                    </a:stretch>
                  </pic:blipFill>
                  <pic:spPr>
                    <a:xfrm>
                      <a:off x="0" y="0"/>
                      <a:ext cx="57067" cy="101452"/>
                    </a:xfrm>
                    <a:prstGeom prst="rect"/>
                  </pic:spPr>
                </pic:pic>
              </a:graphicData>
            </a:graphic>
          </wp:inline>
        </w:drawing>
      </w:r>
      <w:r>
        <w:rPr>
          <w:b w:val="0"/>
          <w:i w:val="0"/>
        </w:rPr>
        <w:t xml:space="preserve"> 表示当前期。</w:t>
      </w:r>
      <w:r>
        <w:rPr>
          <w:rFonts w:ascii="DejaVu Sans Mono" w:hAnsi="DejaVu Sans Mono"/>
          <w:b w:val="0"/>
          <w:i w:val="0"/>
          <w:sz w:val="17"/>
        </w:rPr>
        <w:t>Battery.charge</w:t>
      </w:r>
      <w:r>
        <w:rPr>
          <w:b w:val="0"/>
          <w:i w:val="0"/>
        </w:rPr>
        <w:t xml:space="preserve"> 根据 </w:t>
      </w:r>
      <w:r>
        <w:rPr>
          <w:rFonts w:ascii="DejaVu Sans Mono" w:hAnsi="DejaVu Sans Mono"/>
          <w:b w:val="0"/>
          <w:i w:val="0"/>
          <w:sz w:val="17"/>
        </w:rPr>
        <w:t>power_capacity_mw</w:t>
      </w:r>
      <w:r>
        <w:rPr>
          <w:b w:val="0"/>
          <w:i w:val="0"/>
        </w:rPr>
        <w:t>、</w:t>
      </w:r>
      <w:r>
        <w:rPr>
          <w:rFonts w:ascii="DejaVu Sans Mono" w:hAnsi="DejaVu Sans Mono"/>
          <w:b w:val="0"/>
          <w:i w:val="0"/>
          <w:sz w:val="17"/>
        </w:rPr>
        <w:t>energy_capacity_mwh</w:t>
      </w:r>
      <w:r>
        <w:rPr>
          <w:b w:val="0"/>
          <w:i w:val="0"/>
        </w:rPr>
        <w:t xml:space="preserve">、充电效率 </w:t>
      </w:r>
      <w:r>
        <w:rPr>
          <w:rFonts w:ascii="DejaVu Sans Mono" w:hAnsi="DejaVu Sans Mono"/>
          <w:b w:val="0"/>
          <w:i w:val="0"/>
          <w:sz w:val="17"/>
        </w:rPr>
        <w:t>n_1</w:t>
      </w:r>
      <w:r>
        <w:rPr>
          <w:b w:val="0"/>
          <w:i w:val="0"/>
        </w:rPr>
        <w:t xml:space="preserve"> 和本期已有充电后的剩余功率限制输入。对各储能，计算为</w:t>
      </w:r>
    </w:p>
    <w:p>
      <w:pPr>
        <w:spacing w:after="160"/>
        <w:jc w:val="center"/>
      </w:pPr>
      <w:r>
        <w:drawing>
          <wp:inline xmlns:a="http://schemas.openxmlformats.org/drawingml/2006/main" xmlns:pic="http://schemas.openxmlformats.org/drawingml/2006/picture">
            <wp:extent cx="6215100" cy="2180657"/>
            <wp:docPr id="55" name="Picture 55"/>
            <wp:cNvGraphicFramePr>
              <a:graphicFrameLocks noChangeAspect="1"/>
            </wp:cNvGraphicFramePr>
            <a:graphic>
              <a:graphicData uri="http://schemas.openxmlformats.org/drawingml/2006/picture">
                <pic:pic>
                  <pic:nvPicPr>
                    <pic:cNvPr id="0" name="eq-055.png"/>
                    <pic:cNvPicPr/>
                  </pic:nvPicPr>
                  <pic:blipFill>
                    <a:blip r:embed="rId64"/>
                    <a:stretch>
                      <a:fillRect/>
                    </a:stretch>
                  </pic:blipFill>
                  <pic:spPr>
                    <a:xfrm>
                      <a:off x="0" y="0"/>
                      <a:ext cx="6215100" cy="2180657"/>
                    </a:xfrm>
                    <a:prstGeom prst="rect"/>
                  </pic:spPr>
                </pic:pic>
              </a:graphicData>
            </a:graphic>
          </wp:inline>
        </w:drawing>
      </w:r>
    </w:p>
    <w:p>
      <w:pPr>
        <w:keepNext/>
      </w:pPr>
      <w:r>
        <w:rPr>
          <w:rFonts w:ascii="DejaVu Sans Mono" w:hAnsi="DejaVu Sans Mono"/>
          <w:b w:val="0"/>
          <w:i w:val="0"/>
          <w:sz w:val="17"/>
        </w:rPr>
        <w:t>Battery.discharge</w:t>
      </w:r>
      <w:r>
        <w:rPr>
          <w:b w:val="0"/>
          <w:i w:val="0"/>
        </w:rPr>
        <w:t xml:space="preserve"> 从指定批次扣除 </w:t>
      </w:r>
      <w:r>
        <w:rPr>
          <w:rFonts w:ascii="DejaVu Sans Mono" w:hAnsi="DejaVu Sans Mono"/>
          <w:b w:val="0"/>
          <w:i w:val="0"/>
          <w:sz w:val="17"/>
        </w:rPr>
        <w:t>output_power * period_hours / n_2</w:t>
      </w:r>
      <w:r>
        <w:rPr>
          <w:b w:val="0"/>
          <w:i w:val="0"/>
        </w:rPr>
        <w:t xml:space="preserve"> MWh，其中 </w:t>
      </w:r>
      <w:r>
        <w:rPr>
          <w:rFonts w:ascii="DejaVu Sans Mono" w:hAnsi="DejaVu Sans Mono"/>
          <w:b w:val="0"/>
          <w:i w:val="0"/>
          <w:sz w:val="17"/>
        </w:rPr>
        <w:t>n_2</w:t>
      </w:r>
      <w:r>
        <w:rPr>
          <w:b w:val="0"/>
          <w:i w:val="0"/>
        </w:rPr>
        <w:t xml:space="preserve"> 为放电效率。全部批次及各阶段共享额定功率，日前采用已有批次，上调采用年龄至少两期的批次。期间账户中的 </w:t>
      </w:r>
      <w:r>
        <w:rPr>
          <w:rFonts w:ascii="DejaVu Sans Mono" w:hAnsi="DejaVu Sans Mono"/>
          <w:b w:val="0"/>
          <w:i w:val="0"/>
          <w:sz w:val="17"/>
        </w:rPr>
        <w:t>discharged_mw</w:t>
      </w:r>
      <w:r>
        <w:rPr>
          <w:b w:val="0"/>
          <w:i w:val="0"/>
        </w:rPr>
        <w:t>、</w:t>
      </w:r>
      <w:r>
        <w:rPr>
          <w:rFonts w:ascii="DejaVu Sans Mono" w:hAnsi="DejaVu Sans Mono"/>
          <w:b w:val="0"/>
          <w:i w:val="0"/>
          <w:sz w:val="17"/>
        </w:rPr>
        <w:t>charged_mw</w:t>
      </w:r>
      <w:r>
        <w:rPr>
          <w:b w:val="0"/>
          <w:i w:val="0"/>
        </w:rPr>
        <w:t xml:space="preserve"> 及 </w:t>
      </w:r>
      <w:r>
        <w:rPr>
          <w:rFonts w:ascii="DejaVu Sans Mono" w:hAnsi="DejaVu Sans Mono"/>
          <w:b w:val="0"/>
          <w:i w:val="0"/>
          <w:sz w:val="17"/>
        </w:rPr>
        <w:t>stored_energy</w:t>
      </w:r>
      <w:r>
        <w:rPr>
          <w:b w:val="0"/>
          <w:i w:val="0"/>
        </w:rPr>
        <w:t xml:space="preserve"> 合计满足</w:t>
      </w:r>
    </w:p>
    <w:p>
      <w:pPr>
        <w:spacing w:after="160"/>
        <w:jc w:val="center"/>
      </w:pPr>
      <w:r>
        <w:drawing>
          <wp:inline xmlns:a="http://schemas.openxmlformats.org/drawingml/2006/main" xmlns:pic="http://schemas.openxmlformats.org/drawingml/2006/picture">
            <wp:extent cx="5391302" cy="845963"/>
            <wp:docPr id="56" name="Picture 56"/>
            <wp:cNvGraphicFramePr>
              <a:graphicFrameLocks noChangeAspect="1"/>
            </wp:cNvGraphicFramePr>
            <a:graphic>
              <a:graphicData uri="http://schemas.openxmlformats.org/drawingml/2006/picture">
                <pic:pic>
                  <pic:nvPicPr>
                    <pic:cNvPr id="0" name="eq-056.png"/>
                    <pic:cNvPicPr/>
                  </pic:nvPicPr>
                  <pic:blipFill>
                    <a:blip r:embed="rId65"/>
                    <a:stretch>
                      <a:fillRect/>
                    </a:stretch>
                  </pic:blipFill>
                  <pic:spPr>
                    <a:xfrm>
                      <a:off x="0" y="0"/>
                      <a:ext cx="5391302" cy="845963"/>
                    </a:xfrm>
                    <a:prstGeom prst="rect"/>
                  </pic:spPr>
                </pic:pic>
              </a:graphicData>
            </a:graphic>
          </wp:inline>
        </w:drawing>
      </w:r>
    </w:p>
    <w:p>
      <w:r>
        <w:rPr>
          <w:b w:val="0"/>
          <w:i w:val="0"/>
        </w:rPr>
        <w:t>吸收盈余时，储能先回购本期放电，并将撤回的电量返回原批次；剩余放电降至零后，继续到达的盈余才能充电。本期已经充电的储能在后续阶段提供零放电。盈余吸收先处理预测差额盈余，再处理其他可用盈余，并按时段结束时的净头寸记录售电。被回购的出力保留日前储能报酬。</w:t>
      </w:r>
    </w:p>
    <w:p>
      <w:r>
        <w:rPr>
          <w:b w:val="0"/>
          <w:i w:val="0"/>
        </w:rPr>
        <w:t xml:space="preserve">自放电在每期将库存乘 </w:t>
      </w:r>
      <w:r>
        <w:drawing>
          <wp:inline xmlns:a="http://schemas.openxmlformats.org/drawingml/2006/main" xmlns:pic="http://schemas.openxmlformats.org/drawingml/2006/picture">
            <wp:extent cx="1014501" cy="142533"/>
            <wp:docPr id="57" name="Picture 57"/>
            <wp:cNvGraphicFramePr>
              <a:graphicFrameLocks noChangeAspect="1"/>
            </wp:cNvGraphicFramePr>
            <a:graphic>
              <a:graphicData uri="http://schemas.openxmlformats.org/drawingml/2006/picture">
                <pic:pic>
                  <pic:nvPicPr>
                    <pic:cNvPr id="0" name="eq-057.png"/>
                    <pic:cNvPicPr/>
                  </pic:nvPicPr>
                  <pic:blipFill>
                    <a:blip r:embed="rId66"/>
                    <a:stretch>
                      <a:fillRect/>
                    </a:stretch>
                  </pic:blipFill>
                  <pic:spPr>
                    <a:xfrm>
                      <a:off x="0" y="0"/>
                      <a:ext cx="1014501" cy="142533"/>
                    </a:xfrm>
                    <a:prstGeom prst="rect"/>
                  </pic:spPr>
                </pic:pic>
              </a:graphicData>
            </a:graphic>
          </wp:inline>
        </w:drawing>
      </w:r>
      <w:r>
        <w:rPr>
          <w:b w:val="0"/>
          <w:i w:val="0"/>
        </w:rPr>
        <w:t xml:space="preserve">⁠。电池及其他默认类型的 </w:t>
      </w:r>
      <w:r>
        <w:drawing>
          <wp:inline xmlns:a="http://schemas.openxmlformats.org/drawingml/2006/main" xmlns:pic="http://schemas.openxmlformats.org/drawingml/2006/picture">
            <wp:extent cx="742295" cy="142588"/>
            <wp:docPr id="58" name="Picture 58"/>
            <wp:cNvGraphicFramePr>
              <a:graphicFrameLocks noChangeAspect="1"/>
            </wp:cNvGraphicFramePr>
            <a:graphic>
              <a:graphicData uri="http://schemas.openxmlformats.org/drawingml/2006/picture">
                <pic:pic>
                  <pic:nvPicPr>
                    <pic:cNvPr id="0" name="eq-058.png"/>
                    <pic:cNvPicPr/>
                  </pic:nvPicPr>
                  <pic:blipFill>
                    <a:blip r:embed="rId67"/>
                    <a:stretch>
                      <a:fillRect/>
                    </a:stretch>
                  </pic:blipFill>
                  <pic:spPr>
                    <a:xfrm>
                      <a:off x="0" y="0"/>
                      <a:ext cx="742295" cy="142588"/>
                    </a:xfrm>
                    <a:prstGeom prst="rect"/>
                  </pic:spPr>
                </pic:pic>
              </a:graphicData>
            </a:graphic>
          </wp:inline>
        </w:drawing>
      </w:r>
      <w:r>
        <w:rPr>
          <w:b w:val="0"/>
          <w:i w:val="0"/>
        </w:rPr>
        <w:t xml:space="preserve"> 为 0.000021，抽蓄为 0.000001，氢储能为 0.000005。小于 0.001 MWh 的批次被移除，并进入库存核对。</w:t>
      </w:r>
    </w:p>
    <w:p>
      <w:pPr>
        <w:keepNext/>
      </w:pPr>
      <w:r>
        <w:rPr>
          <w:b w:val="0"/>
          <w:i w:val="0"/>
        </w:rPr>
        <w:t xml:space="preserve">默认动态储能成本模块按循环折旧报价。电池报价为 </w:t>
      </w:r>
      <w:r>
        <w:drawing>
          <wp:inline xmlns:a="http://schemas.openxmlformats.org/drawingml/2006/main" xmlns:pic="http://schemas.openxmlformats.org/drawingml/2006/picture">
            <wp:extent cx="3478250" cy="150864"/>
            <wp:docPr id="59" name="Picture 59"/>
            <wp:cNvGraphicFramePr>
              <a:graphicFrameLocks noChangeAspect="1"/>
            </wp:cNvGraphicFramePr>
            <a:graphic>
              <a:graphicData uri="http://schemas.openxmlformats.org/drawingml/2006/picture">
                <pic:pic>
                  <pic:nvPicPr>
                    <pic:cNvPr id="0" name="eq-059.png"/>
                    <pic:cNvPicPr/>
                  </pic:nvPicPr>
                  <pic:blipFill>
                    <a:blip r:embed="rId68"/>
                    <a:stretch>
                      <a:fillRect/>
                    </a:stretch>
                  </pic:blipFill>
                  <pic:spPr>
                    <a:xfrm>
                      <a:off x="0" y="0"/>
                      <a:ext cx="3478250" cy="150864"/>
                    </a:xfrm>
                    <a:prstGeom prst="rect"/>
                  </pic:spPr>
                </pic:pic>
              </a:graphicData>
            </a:graphic>
          </wp:inline>
        </w:drawing>
      </w:r>
      <w:r>
        <w:rPr>
          <w:b w:val="0"/>
          <w:i w:val="0"/>
        </w:rPr>
        <w:t>⁠，抽蓄和氢储能报价为零，最老批次先行报价：</w:t>
      </w:r>
    </w:p>
    <w:p>
      <w:pPr>
        <w:spacing w:after="160"/>
        <w:jc w:val="center"/>
      </w:pPr>
      <w:r>
        <w:drawing>
          <wp:inline xmlns:a="http://schemas.openxmlformats.org/drawingml/2006/main" xmlns:pic="http://schemas.openxmlformats.org/drawingml/2006/picture">
            <wp:extent cx="6217920" cy="377033"/>
            <wp:docPr id="60" name="Picture 60"/>
            <wp:cNvGraphicFramePr>
              <a:graphicFrameLocks noChangeAspect="1"/>
            </wp:cNvGraphicFramePr>
            <a:graphic>
              <a:graphicData uri="http://schemas.openxmlformats.org/drawingml/2006/picture">
                <pic:pic>
                  <pic:nvPicPr>
                    <pic:cNvPr id="0" name="eq-060.png"/>
                    <pic:cNvPicPr/>
                  </pic:nvPicPr>
                  <pic:blipFill>
                    <a:blip r:embed="rId69"/>
                    <a:stretch>
                      <a:fillRect/>
                    </a:stretch>
                  </pic:blipFill>
                  <pic:spPr>
                    <a:xfrm>
                      <a:off x="0" y="0"/>
                      <a:ext cx="6217920" cy="377033"/>
                    </a:xfrm>
                    <a:prstGeom prst="rect"/>
                  </pic:spPr>
                </pic:pic>
              </a:graphicData>
            </a:graphic>
          </wp:inline>
        </w:drawing>
      </w:r>
    </w:p>
    <w:p>
      <w:r>
        <w:rPr>
          <w:b w:val="0"/>
          <w:i w:val="0"/>
        </w:rPr>
        <w:t>第 4 章定义储能状态与报价费用的计算。年度送出 MWh 和售电量加权持有时间进入下一年的定价输入，其年度费用处理见第 6 章。</w:t>
      </w:r>
    </w:p>
    <w:p>
      <w:pPr>
        <w:pStyle w:val="Heading2"/>
      </w:pPr>
      <w:r>
        <w:rPr>
          <w:b w:val="0"/>
          <w:i w:val="0"/>
        </w:rPr>
        <w:t>预测出清与平衡</w:t>
      </w:r>
    </w:p>
    <w:p>
      <w:pPr>
        <w:keepNext/>
      </w:pPr>
      <w:r>
        <w:rPr>
          <w:b w:val="0"/>
          <w:i w:val="0"/>
        </w:rPr>
        <w:t>市场按稳定排序键排列发电、进口和储能批次报价。同一 0.01 £/MWh 档内，发电和进口位于储能之前，再按未取整价格和输入顺序处理并列：</w:t>
      </w:r>
    </w:p>
    <w:p>
      <w:pPr>
        <w:spacing w:after="160"/>
        <w:jc w:val="center"/>
      </w:pPr>
      <w:r>
        <w:drawing>
          <wp:inline xmlns:a="http://schemas.openxmlformats.org/drawingml/2006/main" xmlns:pic="http://schemas.openxmlformats.org/drawingml/2006/picture">
            <wp:extent cx="5119801" cy="171422"/>
            <wp:docPr id="61" name="Picture 61"/>
            <wp:cNvGraphicFramePr>
              <a:graphicFrameLocks noChangeAspect="1"/>
            </wp:cNvGraphicFramePr>
            <a:graphic>
              <a:graphicData uri="http://schemas.openxmlformats.org/drawingml/2006/picture">
                <pic:pic>
                  <pic:nvPicPr>
                    <pic:cNvPr id="0" name="eq-061.png"/>
                    <pic:cNvPicPr/>
                  </pic:nvPicPr>
                  <pic:blipFill>
                    <a:blip r:embed="rId70"/>
                    <a:stretch>
                      <a:fillRect/>
                    </a:stretch>
                  </pic:blipFill>
                  <pic:spPr>
                    <a:xfrm>
                      <a:off x="0" y="0"/>
                      <a:ext cx="5119801" cy="171422"/>
                    </a:xfrm>
                    <a:prstGeom prst="rect"/>
                  </pic:spPr>
                </pic:pic>
              </a:graphicData>
            </a:graphic>
          </wp:inline>
        </w:drawing>
      </w:r>
    </w:p>
    <w:p>
      <w:pPr>
        <w:keepNext/>
      </w:pPr>
      <w:r>
        <w:rPr>
          <w:b w:val="0"/>
          <w:i w:val="0"/>
        </w:rPr>
        <w:t>普通机组满足剩余预测需求，其出力上限为</w:t>
      </w:r>
    </w:p>
    <w:p>
      <w:pPr>
        <w:spacing w:after="160"/>
        <w:jc w:val="center"/>
      </w:pPr>
      <w:r>
        <w:drawing>
          <wp:inline xmlns:a="http://schemas.openxmlformats.org/drawingml/2006/main" xmlns:pic="http://schemas.openxmlformats.org/drawingml/2006/picture">
            <wp:extent cx="4294479" cy="194269"/>
            <wp:docPr id="62" name="Picture 62"/>
            <wp:cNvGraphicFramePr>
              <a:graphicFrameLocks noChangeAspect="1"/>
            </wp:cNvGraphicFramePr>
            <a:graphic>
              <a:graphicData uri="http://schemas.openxmlformats.org/drawingml/2006/picture">
                <pic:pic>
                  <pic:nvPicPr>
                    <pic:cNvPr id="0" name="eq-062.png"/>
                    <pic:cNvPicPr/>
                  </pic:nvPicPr>
                  <pic:blipFill>
                    <a:blip r:embed="rId71"/>
                    <a:stretch>
                      <a:fillRect/>
                    </a:stretch>
                  </pic:blipFill>
                  <pic:spPr>
                    <a:xfrm>
                      <a:off x="0" y="0"/>
                      <a:ext cx="4294479" cy="194269"/>
                    </a:xfrm>
                    <a:prstGeom prst="rect"/>
                  </pic:spPr>
                </pic:pic>
              </a:graphicData>
            </a:graphic>
          </wp:inline>
        </w:drawing>
      </w:r>
    </w:p>
    <w:p>
      <w:r>
        <w:rPr>
          <w:b w:val="0"/>
          <w:i w:val="0"/>
        </w:rPr>
        <w:t xml:space="preserve">水电与生物质还受剩余累计预算 </w:t>
      </w:r>
      <w:r>
        <w:drawing>
          <wp:inline xmlns:a="http://schemas.openxmlformats.org/drawingml/2006/main" xmlns:pic="http://schemas.openxmlformats.org/drawingml/2006/picture">
            <wp:extent cx="2321255" cy="148745"/>
            <wp:docPr id="63" name="Picture 63"/>
            <wp:cNvGraphicFramePr>
              <a:graphicFrameLocks noChangeAspect="1"/>
            </wp:cNvGraphicFramePr>
            <a:graphic>
              <a:graphicData uri="http://schemas.openxmlformats.org/drawingml/2006/picture">
                <pic:pic>
                  <pic:nvPicPr>
                    <pic:cNvPr id="0" name="eq-063.png"/>
                    <pic:cNvPicPr/>
                  </pic:nvPicPr>
                  <pic:blipFill>
                    <a:blip r:embed="rId72"/>
                    <a:stretch>
                      <a:fillRect/>
                    </a:stretch>
                  </pic:blipFill>
                  <pic:spPr>
                    <a:xfrm>
                      <a:off x="0" y="0"/>
                      <a:ext cx="2321255" cy="148745"/>
                    </a:xfrm>
                    <a:prstGeom prst="rect"/>
                  </pic:spPr>
                </pic:pic>
              </a:graphicData>
            </a:graphic>
          </wp:inline>
        </w:drawing>
      </w:r>
      <w:r>
        <w:rPr>
          <w:b w:val="0"/>
          <w:i w:val="0"/>
        </w:rPr>
        <w:t xml:space="preserve"> 约束，该预算以 MW·时段表示，乘 </w:t>
      </w:r>
      <w:r>
        <w:drawing>
          <wp:inline xmlns:a="http://schemas.openxmlformats.org/drawingml/2006/main" xmlns:pic="http://schemas.openxmlformats.org/drawingml/2006/picture">
            <wp:extent cx="888771" cy="140443"/>
            <wp:docPr id="64" name="Picture 64"/>
            <wp:cNvGraphicFramePr>
              <a:graphicFrameLocks noChangeAspect="1"/>
            </wp:cNvGraphicFramePr>
            <a:graphic>
              <a:graphicData uri="http://schemas.openxmlformats.org/drawingml/2006/picture">
                <pic:pic>
                  <pic:nvPicPr>
                    <pic:cNvPr id="0" name="eq-064.png"/>
                    <pic:cNvPicPr/>
                  </pic:nvPicPr>
                  <pic:blipFill>
                    <a:blip r:embed="rId73"/>
                    <a:stretch>
                      <a:fillRect/>
                    </a:stretch>
                  </pic:blipFill>
                  <pic:spPr>
                    <a:xfrm>
                      <a:off x="0" y="0"/>
                      <a:ext cx="888771" cy="140443"/>
                    </a:xfrm>
                    <a:prstGeom prst="rect"/>
                  </pic:spPr>
                </pic:pic>
              </a:graphicData>
            </a:graphic>
          </wp:inline>
        </w:drawing>
      </w:r>
      <w:r>
        <w:rPr>
          <w:b w:val="0"/>
          <w:i w:val="0"/>
        </w:rPr>
        <w:t xml:space="preserve"> 后转为 MWh。核电接纳量可高于剩余需求 </w:t>
      </w:r>
      <w:r>
        <w:drawing>
          <wp:inline xmlns:a="http://schemas.openxmlformats.org/drawingml/2006/main" xmlns:pic="http://schemas.openxmlformats.org/drawingml/2006/picture">
            <wp:extent cx="1155877" cy="121451"/>
            <wp:docPr id="65" name="Picture 65"/>
            <wp:cNvGraphicFramePr>
              <a:graphicFrameLocks noChangeAspect="1"/>
            </wp:cNvGraphicFramePr>
            <a:graphic>
              <a:graphicData uri="http://schemas.openxmlformats.org/drawingml/2006/picture">
                <pic:pic>
                  <pic:nvPicPr>
                    <pic:cNvPr id="0" name="eq-065.png"/>
                    <pic:cNvPicPr/>
                  </pic:nvPicPr>
                  <pic:blipFill>
                    <a:blip r:embed="rId74"/>
                    <a:stretch>
                      <a:fillRect/>
                    </a:stretch>
                  </pic:blipFill>
                  <pic:spPr>
                    <a:xfrm>
                      <a:off x="0" y="0"/>
                      <a:ext cx="1155877" cy="121451"/>
                    </a:xfrm>
                    <a:prstGeom prst="rect"/>
                  </pic:spPr>
                </pic:pic>
              </a:graphicData>
            </a:graphic>
          </wp:inline>
        </w:drawing>
      </w:r>
      <w:r>
        <w:rPr>
          <w:b w:val="0"/>
          <w:i w:val="0"/>
        </w:rPr>
        <w:t xml:space="preserve">⁠：当其上限高于 </w:t>
      </w:r>
      <w:r>
        <w:drawing>
          <wp:inline xmlns:a="http://schemas.openxmlformats.org/drawingml/2006/main" xmlns:pic="http://schemas.openxmlformats.org/drawingml/2006/picture">
            <wp:extent cx="1155877" cy="121451"/>
            <wp:docPr id="66" name="Picture 66"/>
            <wp:cNvGraphicFramePr>
              <a:graphicFrameLocks noChangeAspect="1"/>
            </wp:cNvGraphicFramePr>
            <a:graphic>
              <a:graphicData uri="http://schemas.openxmlformats.org/drawingml/2006/picture">
                <pic:pic>
                  <pic:nvPicPr>
                    <pic:cNvPr id="0" name="eq-065.png"/>
                    <pic:cNvPicPr/>
                  </pic:nvPicPr>
                  <pic:blipFill>
                    <a:blip r:embed="rId74"/>
                    <a:stretch>
                      <a:fillRect/>
                    </a:stretch>
                  </pic:blipFill>
                  <pic:spPr>
                    <a:xfrm>
                      <a:off x="0" y="0"/>
                      <a:ext cx="1155877" cy="121451"/>
                    </a:xfrm>
                    <a:prstGeom prst="rect"/>
                  </pic:spPr>
                </pic:pic>
              </a:graphicData>
            </a:graphic>
          </wp:inline>
        </w:drawing>
      </w:r>
      <w:r>
        <w:rPr>
          <w:b w:val="0"/>
          <w:i w:val="0"/>
        </w:rPr>
        <w:t xml:space="preserve"> 时，供应 </w:t>
      </w:r>
      <w:r>
        <w:drawing>
          <wp:inline xmlns:a="http://schemas.openxmlformats.org/drawingml/2006/main" xmlns:pic="http://schemas.openxmlformats.org/drawingml/2006/picture">
            <wp:extent cx="3977119" cy="178111"/>
            <wp:docPr id="67" name="Picture 67"/>
            <wp:cNvGraphicFramePr>
              <a:graphicFrameLocks noChangeAspect="1"/>
            </wp:cNvGraphicFramePr>
            <a:graphic>
              <a:graphicData uri="http://schemas.openxmlformats.org/drawingml/2006/picture">
                <pic:pic>
                  <pic:nvPicPr>
                    <pic:cNvPr id="0" name="eq-067.png"/>
                    <pic:cNvPicPr/>
                  </pic:nvPicPr>
                  <pic:blipFill>
                    <a:blip r:embed="rId75"/>
                    <a:stretch>
                      <a:fillRect/>
                    </a:stretch>
                  </pic:blipFill>
                  <pic:spPr>
                    <a:xfrm>
                      <a:off x="0" y="0"/>
                      <a:ext cx="3977119" cy="178111"/>
                    </a:xfrm>
                    <a:prstGeom prst="rect"/>
                  </pic:spPr>
                </pic:pic>
              </a:graphicData>
            </a:graphic>
          </wp:inline>
        </w:drawing>
      </w:r>
      <w:r>
        <w:rPr>
          <w:b w:val="0"/>
          <w:i w:val="0"/>
        </w:rPr>
        <w:t>⁠，超出部分成为已经发出的刚性盈余。风光高于需求接纳量的可用出力保留为可用盈余。</w:t>
      </w:r>
    </w:p>
    <w:p>
      <w:r>
        <w:rPr>
          <w:b w:val="0"/>
          <w:i w:val="0"/>
        </w:rPr>
        <w:t xml:space="preserve">互联线以对侧价格乘 </w:t>
      </w:r>
      <w:r>
        <w:drawing>
          <wp:inline xmlns:a="http://schemas.openxmlformats.org/drawingml/2006/main" xmlns:pic="http://schemas.openxmlformats.org/drawingml/2006/picture">
            <wp:extent cx="997318" cy="144569"/>
            <wp:docPr id="68" name="Picture 68"/>
            <wp:cNvGraphicFramePr>
              <a:graphicFrameLocks noChangeAspect="1"/>
            </wp:cNvGraphicFramePr>
            <a:graphic>
              <a:graphicData uri="http://schemas.openxmlformats.org/drawingml/2006/picture">
                <pic:pic>
                  <pic:nvPicPr>
                    <pic:cNvPr id="0" name="eq-037.png"/>
                    <pic:cNvPicPr/>
                  </pic:nvPicPr>
                  <pic:blipFill>
                    <a:blip r:embed="rId47"/>
                    <a:stretch>
                      <a:fillRect/>
                    </a:stretch>
                  </pic:blipFill>
                  <pic:spPr>
                    <a:xfrm>
                      <a:off x="0" y="0"/>
                      <a:ext cx="997318" cy="144569"/>
                    </a:xfrm>
                    <a:prstGeom prst="rect"/>
                  </pic:spPr>
                </pic:pic>
              </a:graphicData>
            </a:graphic>
          </wp:inline>
        </w:drawing>
      </w:r>
      <w:r>
        <w:rPr>
          <w:b w:val="0"/>
          <w:i w:val="0"/>
        </w:rPr>
        <w:t xml:space="preserve"> 报出正的可用进口容量，参与日前出清。进口报价受容量约束，爬坡和启动加价均为零。平衡阶段仅报出 </w:t>
      </w:r>
      <w:r>
        <w:drawing>
          <wp:inline xmlns:a="http://schemas.openxmlformats.org/drawingml/2006/main" xmlns:pic="http://schemas.openxmlformats.org/drawingml/2006/picture">
            <wp:extent cx="3273729" cy="176052"/>
            <wp:docPr id="69" name="Picture 69"/>
            <wp:cNvGraphicFramePr>
              <a:graphicFrameLocks noChangeAspect="1"/>
            </wp:cNvGraphicFramePr>
            <a:graphic>
              <a:graphicData uri="http://schemas.openxmlformats.org/drawingml/2006/picture">
                <pic:pic>
                  <pic:nvPicPr>
                    <pic:cNvPr id="0" name="eq-069.png"/>
                    <pic:cNvPicPr/>
                  </pic:nvPicPr>
                  <pic:blipFill>
                    <a:blip r:embed="rId76"/>
                    <a:stretch>
                      <a:fillRect/>
                    </a:stretch>
                  </pic:blipFill>
                  <pic:spPr>
                    <a:xfrm>
                      <a:off x="0" y="0"/>
                      <a:ext cx="3273729" cy="176052"/>
                    </a:xfrm>
                    <a:prstGeom prst="rect"/>
                  </pic:spPr>
                </pic:pic>
              </a:graphicData>
            </a:graphic>
          </wp:inline>
        </w:drawing>
      </w:r>
      <w:r>
        <w:rPr>
          <w:b w:val="0"/>
          <w:i w:val="0"/>
        </w:rPr>
        <w:t>⁠。负的传输容量表示出口能力，在对侧价格为正时接纳出口。</w:t>
      </w:r>
    </w:p>
    <w:p>
      <w:r>
        <w:rPr>
          <w:b w:val="0"/>
          <w:i w:val="0"/>
        </w:rPr>
        <w:t>日前结束后，以可用量减接纳量重建风光盈余，并先使用已经发出的核电盈余。风光盈余被储能、出口或柔性需求使用时，计入风光毛发电量。因此，</w:t>
      </w:r>
      <w:r>
        <w:rPr>
          <w:rFonts w:ascii="DejaVu Sans Mono" w:hAnsi="DejaVu Sans Mono"/>
          <w:b w:val="0"/>
          <w:i w:val="0"/>
          <w:sz w:val="17"/>
        </w:rPr>
        <w:t>vre_accepted</w:t>
      </w:r>
      <w:r>
        <w:rPr>
          <w:b w:val="0"/>
          <w:i w:val="0"/>
        </w:rPr>
        <w:t xml:space="preserve"> 表示风光毛出力，</w:t>
      </w:r>
      <w:r>
        <w:rPr>
          <w:rFonts w:ascii="DejaVu Sans Mono" w:hAnsi="DejaVu Sans Mono"/>
          <w:b w:val="0"/>
          <w:i w:val="0"/>
          <w:sz w:val="17"/>
        </w:rPr>
        <w:t>curtailed</w:t>
      </w:r>
      <w:r>
        <w:rPr>
          <w:b w:val="0"/>
          <w:i w:val="0"/>
        </w:rPr>
        <w:t xml:space="preserve"> 表示可用风光减毛出力，</w:t>
      </w:r>
      <w:r>
        <w:rPr>
          <w:rFonts w:ascii="DejaVu Sans Mono" w:hAnsi="DejaVu Sans Mono"/>
          <w:b w:val="0"/>
          <w:i w:val="0"/>
          <w:sz w:val="17"/>
        </w:rPr>
        <w:t>excess</w:t>
      </w:r>
      <w:r>
        <w:rPr>
          <w:b w:val="0"/>
          <w:i w:val="0"/>
        </w:rPr>
        <w:t xml:space="preserve"> 表示非风光溢出。已进入日前供给与结算的核电盈余在平衡阶段仅分配一次；在平衡阶段进入供给的风光盈余接受平衡结算。</w:t>
      </w:r>
    </w:p>
    <w:p>
      <w:r>
        <w:rPr>
          <w:b w:val="0"/>
          <w:i w:val="0"/>
        </w:rPr>
        <w:t xml:space="preserve">日前出清依次接纳报价，在剩余预测需求降为零或全部报价耗尽时结束。日前阶段没有核电机组被接纳时，核电的 </w:t>
      </w:r>
      <w:r>
        <w:rPr>
          <w:rFonts w:ascii="DejaVu Sans Mono" w:hAnsi="DejaVu Sans Mono"/>
          <w:b w:val="0"/>
          <w:i w:val="0"/>
          <w:sz w:val="17"/>
        </w:rPr>
        <w:t>real_gen_energy</w:t>
      </w:r>
      <w:r>
        <w:rPr>
          <w:b w:val="0"/>
          <w:i w:val="0"/>
        </w:rPr>
        <w:t xml:space="preserve"> 在平衡前乘 0.99。实际调度结束后，最终出力为零的机组将 </w:t>
      </w:r>
      <w:r>
        <w:rPr>
          <w:rFonts w:ascii="DejaVu Sans Mono" w:hAnsi="DejaVu Sans Mono"/>
          <w:b w:val="0"/>
          <w:i w:val="0"/>
          <w:sz w:val="17"/>
        </w:rPr>
        <w:t>real_gen_energy</w:t>
      </w:r>
      <w:r>
        <w:rPr>
          <w:b w:val="0"/>
          <w:i w:val="0"/>
        </w:rPr>
        <w:t xml:space="preserve"> 设为零，其余机组将最终出力传入下一期。</w:t>
      </w:r>
    </w:p>
    <w:p>
      <w:r>
        <w:rPr>
          <w:b w:val="0"/>
          <w:i w:val="0"/>
        </w:rPr>
        <w:t xml:space="preserve">实时阶段按实际需求与预测需求的比较选择分支。实际需求较低时，执行盈余吸收和下调；较高或相等时，执行上调平衡。日前供给低于预测需求时，仍采用这一比较规则：较低实际需求的分支继续要求下调 </w:t>
      </w:r>
      <w:r>
        <w:drawing>
          <wp:inline xmlns:a="http://schemas.openxmlformats.org/drawingml/2006/main" xmlns:pic="http://schemas.openxmlformats.org/drawingml/2006/picture">
            <wp:extent cx="2334456" cy="136212"/>
            <wp:docPr id="70" name="Picture 70"/>
            <wp:cNvGraphicFramePr>
              <a:graphicFrameLocks noChangeAspect="1"/>
            </wp:cNvGraphicFramePr>
            <a:graphic>
              <a:graphicData uri="http://schemas.openxmlformats.org/drawingml/2006/picture">
                <pic:pic>
                  <pic:nvPicPr>
                    <pic:cNvPr id="0" name="eq-070.png"/>
                    <pic:cNvPicPr/>
                  </pic:nvPicPr>
                  <pic:blipFill>
                    <a:blip r:embed="rId77"/>
                    <a:stretch>
                      <a:fillRect/>
                    </a:stretch>
                  </pic:blipFill>
                  <pic:spPr>
                    <a:xfrm>
                      <a:off x="0" y="0"/>
                      <a:ext cx="2334456" cy="136212"/>
                    </a:xfrm>
                    <a:prstGeom prst="rect"/>
                  </pic:spPr>
                </pic:pic>
              </a:graphicData>
            </a:graphic>
          </wp:inline>
        </w:drawing>
      </w:r>
      <w:r>
        <w:rPr>
          <w:b w:val="0"/>
          <w:i w:val="0"/>
        </w:rPr>
        <w:t>⁠，留下的需求缺口进入下文电量账户。</w:t>
      </w:r>
    </w:p>
    <w:p>
      <w:pPr>
        <w:keepLines/>
        <w:spacing w:line="276" w:lineRule="auto" w:after="160"/>
      </w:pPr>
      <w:r>
        <w:rPr>
          <w:rFonts w:ascii="DejaVu Sans Mono" w:hAnsi="DejaVu Sans Mono"/>
          <w:b w:val="0"/>
          <w:i w:val="0"/>
          <w:sz w:val="17"/>
        </w:rPr>
        <w:t>accepted_bids = initial_​running_​rows(generators)</w:t>
        <w:br/>
        <w:t>for period in range(periods):</w:t>
        <w:br/>
        <w:t xml:space="preserve">    Read availability, forecast_​demands[period], real_demands[period]</w:t>
        <w:br/>
        <w:t xml:space="preserve">    Read period external_price and transfer_constraint</w:t>
        <w:br/>
        <w:t xml:space="preserve">    ahead_​market_​bidding(...):</w:t>
        <w:br/>
        <w:t xml:space="preserve">        Add add_energy to each hydro/biomass energy_limit</w:t>
        <w:br/>
        <w:t xml:space="preserve">        Apply storage self-discharge; construct offers</w:t>
        <w:br/>
        <w:t xml:space="preserve">        Sort by merit_key; accept forecast demand subject to physical bounds</w:t>
        <w:br/>
        <w:t xml:space="preserve">        rebuild_surplus(...); uniform_income(...)</w:t>
        <w:br/>
        <w:t xml:space="preserve">    realise_period(...):</w:t>
        <w:br/>
        <w:t xml:space="preserve">        if real_demand &lt; forecast_demand:</w:t>
        <w:br/>
        <w:t xml:space="preserve">            curtailment_​market_​bidding(...):</w:t>
        <w:br/>
        <w:t xml:space="preserve">                Buy back discharge, charge, export, supply electrolysis</w:t>
        <w:br/>
        <w:t xml:space="preserve">                economic_​downward_​stack(...): reduce remaining output</w:t>
        <w:br/>
        <w:t xml:space="preserve">        else:</w:t>
        <w:br/>
        <w:t xml:space="preserve">            balancing_​market_​bidding(...):</w:t>
        <w:br/>
        <w:t xml:space="preserve">                Use surplus; buy back discharge and charge</w:t>
        <w:br/>
        <w:t xml:space="preserve">                Offer eligible batches, generation and residual imports</w:t>
        <w:br/>
        <w:t xml:space="preserve">                Export remaining surplus and supply electrolysis</w:t>
        <w:br/>
        <w:t xml:space="preserve">                Clear upward demand; record remaining blackout</w:t>
        <w:br/>
        <w:t xml:space="preserve">        Set real_gen_energy to zero for generators with zero final output</w:t>
        <w:br/>
        <w:t xml:space="preserve">    battery.close_​period(period) for each battery</w:t>
        <w:br/>
        <w:t xml:space="preserve">    physical_​cost_​terms(...): record period expenditure components</w:t>
        <w:br/>
        <w:t>return period dispatch, prices, income, inventory and annual totals</w:t>
        <w:br/>
      </w:r>
    </w:p>
    <w:p>
      <w:r>
        <w:rPr>
          <w:b w:val="0"/>
          <w:i w:val="0"/>
        </w:rPr>
        <w:t xml:space="preserve">低需求分支按 </w:t>
      </w:r>
      <w:r>
        <w:rPr>
          <w:rFonts w:ascii="DejaVu Sans Mono" w:hAnsi="DejaVu Sans Mono"/>
          <w:b w:val="0"/>
          <w:i w:val="0"/>
          <w:sz w:val="17"/>
        </w:rPr>
        <w:t>storage_fee</w:t>
      </w:r>
      <w:r>
        <w:rPr>
          <w:b w:val="0"/>
          <w:i w:val="0"/>
        </w:rPr>
        <w:t>、</w:t>
      </w:r>
      <w:r>
        <w:rPr>
          <w:rFonts w:ascii="DejaVu Sans Mono" w:hAnsi="DejaVu Sans Mono"/>
          <w:b w:val="0"/>
          <w:i w:val="0"/>
          <w:sz w:val="17"/>
        </w:rPr>
        <w:t>per_storage_fee</w:t>
      </w:r>
      <w:r>
        <w:rPr>
          <w:b w:val="0"/>
          <w:i w:val="0"/>
        </w:rPr>
        <w:t>、</w:t>
      </w:r>
      <w:r>
        <w:rPr>
          <w:rFonts w:ascii="DejaVu Sans Mono" w:hAnsi="DejaVu Sans Mono"/>
          <w:b w:val="0"/>
          <w:i w:val="0"/>
          <w:sz w:val="17"/>
        </w:rPr>
        <w:t>n_1 * n_2</w:t>
      </w:r>
      <w:r>
        <w:rPr>
          <w:b w:val="0"/>
          <w:i w:val="0"/>
        </w:rPr>
        <w:t xml:space="preserve"> 的升序依次处理储能，上调平衡按储能输入顺序处理。每项储能先回购本期放电，再接纳充电。正价格出口在低需求分支按对侧价格降序接纳，在上调平衡按对侧价格升序接纳，各自受负 </w:t>
      </w:r>
      <w:r>
        <w:rPr>
          <w:rFonts w:ascii="DejaVu Sans Mono" w:hAnsi="DejaVu Sans Mono"/>
          <w:b w:val="0"/>
          <w:i w:val="0"/>
          <w:sz w:val="17"/>
        </w:rPr>
        <w:t>transfer_constraint</w:t>
      </w:r>
      <w:r>
        <w:rPr>
          <w:b w:val="0"/>
          <w:i w:val="0"/>
        </w:rPr>
        <w:t xml:space="preserve"> 的绝对值限制。</w:t>
      </w:r>
    </w:p>
    <w:p>
      <w:r>
        <w:rPr>
          <w:b w:val="0"/>
          <w:i w:val="0"/>
        </w:rPr>
        <w:t>上调出清从最后一台日前接纳机组开始，加入后续发电报价、年龄至少两期的储能批次和剩余进口容量。对这台边际机组，</w:t>
      </w:r>
      <w:r>
        <w:rPr>
          <w:rFonts w:ascii="DejaVu Sans Mono" w:hAnsi="DejaVu Sans Mono"/>
          <w:b w:val="0"/>
          <w:i w:val="0"/>
          <w:sz w:val="17"/>
        </w:rPr>
        <w:t>valid_energy</w:t>
      </w:r>
      <w:r>
        <w:rPr>
          <w:b w:val="0"/>
          <w:i w:val="0"/>
        </w:rPr>
        <w:t xml:space="preserve"> 为当前受爬坡约束的出力上限减日前已接纳 MW；后续机组采用完整的受爬坡约束上限。水电和生物质还遵循剩余预算。每次接纳量减少初值为 </w:t>
      </w:r>
      <w:r>
        <w:rPr>
          <w:rFonts w:ascii="DejaVu Sans Mono" w:hAnsi="DejaVu Sans Mono"/>
          <w:b w:val="0"/>
          <w:i w:val="0"/>
          <w:sz w:val="17"/>
        </w:rPr>
        <w:t>real_demand - forecast_demand</w:t>
      </w:r>
      <w:r>
        <w:rPr>
          <w:b w:val="0"/>
          <w:i w:val="0"/>
        </w:rPr>
        <w:t xml:space="preserve"> 的 </w:t>
      </w:r>
      <w:r>
        <w:rPr>
          <w:rFonts w:ascii="DejaVu Sans Mono" w:hAnsi="DejaVu Sans Mono"/>
          <w:b w:val="0"/>
          <w:i w:val="0"/>
          <w:sz w:val="17"/>
        </w:rPr>
        <w:t>energy_provided</w:t>
      </w:r>
      <w:r>
        <w:rPr>
          <w:b w:val="0"/>
          <w:i w:val="0"/>
        </w:rPr>
        <w:t xml:space="preserve">，该量降为零或全部报价耗尽时结束，剩余量记为 </w:t>
      </w:r>
      <w:r>
        <w:rPr>
          <w:rFonts w:ascii="DejaVu Sans Mono" w:hAnsi="DejaVu Sans Mono"/>
          <w:b w:val="0"/>
          <w:i w:val="0"/>
          <w:sz w:val="17"/>
        </w:rPr>
        <w:t>blackout</w:t>
      </w:r>
      <w:r>
        <w:rPr>
          <w:b w:val="0"/>
          <w:i w:val="0"/>
        </w:rPr>
        <w:t>。</w:t>
      </w:r>
    </w:p>
    <w:p>
      <w:r>
        <w:rPr>
          <w:b w:val="0"/>
          <w:i w:val="0"/>
        </w:rPr>
        <w:t xml:space="preserve">公共电解槽作为柔性需求吸收盈余。源参数为 10 MW 容量、每期 0.125 MW 爬坡和 0.65 转换效率，选定数值由数据包参数行提供。可用风光先进入市场出清，再按盈余分配顺序供应储能、出口和电解。本期电解槽限额为 </w:t>
      </w:r>
      <w:r>
        <w:rPr>
          <w:rFonts w:ascii="DejaVu Sans Mono" w:hAnsi="DejaVu Sans Mono"/>
          <w:b w:val="0"/>
          <w:i w:val="0"/>
          <w:sz w:val="17"/>
        </w:rPr>
        <w:t>energy_cell = min(real_energy + rampup_rate, capacity_limit)</w:t>
      </w:r>
      <w:r>
        <w:rPr>
          <w:b w:val="0"/>
          <w:i w:val="0"/>
        </w:rPr>
        <w:t xml:space="preserve">，单位 MW。接纳量 </w:t>
      </w:r>
      <w:r>
        <w:rPr>
          <w:rFonts w:ascii="DejaVu Sans Mono" w:hAnsi="DejaVu Sans Mono"/>
          <w:b w:val="0"/>
          <w:i w:val="0"/>
          <w:sz w:val="17"/>
        </w:rPr>
        <w:t>min_value</w:t>
      </w:r>
      <w:r>
        <w:rPr>
          <w:b w:val="0"/>
          <w:i w:val="0"/>
        </w:rPr>
        <w:t xml:space="preserve"> 取该限额与剩余盈余的较小值：低需求分支采用 </w:t>
      </w:r>
      <w:r>
        <w:rPr>
          <w:rFonts w:ascii="DejaVu Sans Mono" w:hAnsi="DejaVu Sans Mono"/>
          <w:b w:val="0"/>
          <w:i w:val="0"/>
          <w:sz w:val="17"/>
        </w:rPr>
        <w:t>excess_energy + need_curtailed_energy</w:t>
      </w:r>
      <w:r>
        <w:rPr>
          <w:b w:val="0"/>
          <w:i w:val="0"/>
        </w:rPr>
        <w:t xml:space="preserve">，上调平衡采用 </w:t>
      </w:r>
      <w:r>
        <w:rPr>
          <w:rFonts w:ascii="DejaVu Sans Mono" w:hAnsi="DejaVu Sans Mono"/>
          <w:b w:val="0"/>
          <w:i w:val="0"/>
          <w:sz w:val="17"/>
        </w:rPr>
        <w:t>excess_energy</w:t>
      </w:r>
      <w:r>
        <w:rPr>
          <w:b w:val="0"/>
          <w:i w:val="0"/>
        </w:rPr>
        <w:t xml:space="preserve">；随后更新 </w:t>
      </w:r>
      <w:r>
        <w:rPr>
          <w:rFonts w:ascii="DejaVu Sans Mono" w:hAnsi="DejaVu Sans Mono"/>
          <w:b w:val="0"/>
          <w:i w:val="0"/>
          <w:sz w:val="17"/>
        </w:rPr>
        <w:t>real_energy = min_value</w:t>
      </w:r>
      <w:r>
        <w:rPr>
          <w:b w:val="0"/>
          <w:i w:val="0"/>
        </w:rPr>
        <w:t xml:space="preserve"> 和 </w:t>
      </w:r>
      <w:r>
        <w:rPr>
          <w:rFonts w:ascii="DejaVu Sans Mono" w:hAnsi="DejaVu Sans Mono"/>
          <w:b w:val="0"/>
          <w:i w:val="0"/>
          <w:sz w:val="17"/>
        </w:rPr>
        <w:t>green_hy = min_value * energy_efficiency</w:t>
      </w:r>
      <w:r>
        <w:rPr>
          <w:b w:val="0"/>
          <w:i w:val="0"/>
        </w:rPr>
        <w:t>。</w:t>
      </w:r>
    </w:p>
    <w:p>
      <w:pPr>
        <w:pStyle w:val="Heading2"/>
      </w:pPr>
      <w:r>
        <w:rPr>
          <w:b w:val="0"/>
          <w:i w:val="0"/>
        </w:rPr>
        <w:t>经济下调顺序</w:t>
      </w:r>
    </w:p>
    <w:p>
      <w:r>
        <w:rPr>
          <w:b w:val="0"/>
          <w:i w:val="0"/>
        </w:rPr>
        <w:t>在储能、出口和柔性需求吸收盈余后，比较下调能够避免的运行支出。</w:t>
      </w:r>
      <w:r>
        <w:rPr>
          <w:rFonts w:ascii="DejaVu Sans Mono" w:hAnsi="DejaVu Sans Mono"/>
          <w:b w:val="0"/>
          <w:i w:val="0"/>
          <w:sz w:val="17"/>
        </w:rPr>
        <w:t>ramp_floor_mw</w:t>
      </w:r>
      <w:r>
        <w:rPr>
          <w:b w:val="0"/>
          <w:i w:val="0"/>
        </w:rPr>
        <w:t xml:space="preserve"> 取零与上期 </w:t>
      </w:r>
      <w:r>
        <w:rPr>
          <w:rFonts w:ascii="DejaVu Sans Mono" w:hAnsi="DejaVu Sans Mono"/>
          <w:b w:val="0"/>
          <w:i w:val="0"/>
          <w:sz w:val="17"/>
        </w:rPr>
        <w:t>real_gen_energy</w:t>
      </w:r>
      <w:r>
        <w:rPr>
          <w:b w:val="0"/>
          <w:i w:val="0"/>
        </w:rPr>
        <w:t xml:space="preserve"> 减 </w:t>
      </w:r>
      <w:r>
        <w:rPr>
          <w:rFonts w:ascii="DejaVu Sans Mono" w:hAnsi="DejaVu Sans Mono"/>
          <w:b w:val="0"/>
          <w:i w:val="0"/>
          <w:sz w:val="17"/>
        </w:rPr>
        <w:t>alter_limit</w:t>
      </w:r>
      <w:r>
        <w:rPr>
          <w:b w:val="0"/>
          <w:i w:val="0"/>
        </w:rPr>
        <w:t xml:space="preserve"> 的较大值，风光和进口的下限为零。</w:t>
      </w:r>
      <w:r>
        <w:rPr>
          <w:rFonts w:ascii="DejaVu Sans Mono" w:hAnsi="DejaVu Sans Mono"/>
          <w:b w:val="0"/>
          <w:i w:val="0"/>
          <w:sz w:val="17"/>
        </w:rPr>
        <w:t>avoided_cost</w:t>
      </w:r>
      <w:r>
        <w:rPr>
          <w:b w:val="0"/>
          <w:i w:val="0"/>
        </w:rPr>
        <w:t xml:space="preserve"> 读取综合 </w:t>
      </w:r>
      <w:r>
        <w:rPr>
          <w:rFonts w:ascii="DejaVu Sans Mono" w:hAnsi="DejaVu Sans Mono"/>
          <w:b w:val="0"/>
          <w:i w:val="0"/>
          <w:sz w:val="17"/>
        </w:rPr>
        <w:t>gen_cost</w:t>
      </w:r>
      <w:r>
        <w:rPr>
          <w:b w:val="0"/>
          <w:i w:val="0"/>
        </w:rPr>
        <w:t xml:space="preserve">，核电扣除 </w:t>
      </w:r>
      <w:r>
        <w:rPr>
          <w:rFonts w:ascii="DejaVu Sans Mono" w:hAnsi="DejaVu Sans Mono"/>
          <w:b w:val="0"/>
          <w:i w:val="0"/>
          <w:sz w:val="17"/>
        </w:rPr>
        <w:t>NUCLEAR_​DEC_​PREMIUM_​GBP_​PER_​MWH = 100</w:t>
      </w:r>
      <w:r>
        <w:rPr>
          <w:b w:val="0"/>
          <w:i w:val="0"/>
        </w:rPr>
        <w:t xml:space="preserve">，进口采用 </w:t>
      </w:r>
      <w:r>
        <w:rPr>
          <w:rFonts w:ascii="DejaVu Sans Mono" w:hAnsi="DejaVu Sans Mono"/>
          <w:b w:val="0"/>
          <w:i w:val="0"/>
          <w:sz w:val="17"/>
        </w:rPr>
        <w:t>external_price</w:t>
      </w:r>
      <w:r>
        <w:rPr>
          <w:b w:val="0"/>
          <w:i w:val="0"/>
        </w:rPr>
        <w:t>。普通报价行按保留两位小数的避免费用降序排列。</w:t>
      </w:r>
    </w:p>
    <w:p>
      <w:pPr>
        <w:keepNext/>
      </w:pPr>
      <w:r>
        <w:rPr>
          <w:b w:val="0"/>
          <w:i w:val="0"/>
        </w:rPr>
        <w:t xml:space="preserve">燃气与生物质将当期日前接纳出力 </w:t>
      </w:r>
      <w:r>
        <w:drawing>
          <wp:inline xmlns:a="http://schemas.openxmlformats.org/drawingml/2006/main" xmlns:pic="http://schemas.openxmlformats.org/drawingml/2006/picture">
            <wp:extent cx="484409" cy="109044"/>
            <wp:docPr id="71" name="Picture 71"/>
            <wp:cNvGraphicFramePr>
              <a:graphicFrameLocks noChangeAspect="1"/>
            </wp:cNvGraphicFramePr>
            <a:graphic>
              <a:graphicData uri="http://schemas.openxmlformats.org/drawingml/2006/picture">
                <pic:pic>
                  <pic:nvPicPr>
                    <pic:cNvPr id="0" name="eq-071.png"/>
                    <pic:cNvPicPr/>
                  </pic:nvPicPr>
                  <pic:blipFill>
                    <a:blip r:embed="rId78"/>
                    <a:stretch>
                      <a:fillRect/>
                    </a:stretch>
                  </pic:blipFill>
                  <pic:spPr>
                    <a:xfrm>
                      <a:off x="0" y="0"/>
                      <a:ext cx="484409" cy="109044"/>
                    </a:xfrm>
                    <a:prstGeom prst="rect"/>
                  </pic:spPr>
                </pic:pic>
              </a:graphicData>
            </a:graphic>
          </wp:inline>
        </w:drawing>
      </w:r>
      <w:r>
        <w:rPr>
          <w:b w:val="0"/>
          <w:i w:val="0"/>
        </w:rPr>
        <w:t xml:space="preserve"> 拆为不停机段与停机段。在此排序规则中，</w:t>
      </w:r>
      <w:r>
        <w:drawing>
          <wp:inline xmlns:a="http://schemas.openxmlformats.org/drawingml/2006/main" xmlns:pic="http://schemas.openxmlformats.org/drawingml/2006/picture">
            <wp:extent cx="484409" cy="109044"/>
            <wp:docPr id="72" name="Picture 72"/>
            <wp:cNvGraphicFramePr>
              <a:graphicFrameLocks noChangeAspect="1"/>
            </wp:cNvGraphicFramePr>
            <a:graphic>
              <a:graphicData uri="http://schemas.openxmlformats.org/drawingml/2006/picture">
                <pic:pic>
                  <pic:nvPicPr>
                    <pic:cNvPr id="0" name="eq-071.png"/>
                    <pic:cNvPicPr/>
                  </pic:nvPicPr>
                  <pic:blipFill>
                    <a:blip r:embed="rId78"/>
                    <a:stretch>
                      <a:fillRect/>
                    </a:stretch>
                  </pic:blipFill>
                  <pic:spPr>
                    <a:xfrm>
                      <a:off x="0" y="0"/>
                      <a:ext cx="484409" cy="109044"/>
                    </a:xfrm>
                    <a:prstGeom prst="rect"/>
                  </pic:spPr>
                </pic:pic>
              </a:graphicData>
            </a:graphic>
          </wp:inline>
        </w:drawing>
      </w:r>
      <w:r>
        <w:rPr>
          <w:b w:val="0"/>
          <w:i w:val="0"/>
        </w:rPr>
        <w:t xml:space="preserve"> 代表聚合机组在线容量，</w:t>
      </w:r>
      <w:r>
        <w:drawing>
          <wp:inline xmlns:a="http://schemas.openxmlformats.org/drawingml/2006/main" xmlns:pic="http://schemas.openxmlformats.org/drawingml/2006/picture">
            <wp:extent cx="1429270" cy="136221"/>
            <wp:docPr id="73" name="Picture 73"/>
            <wp:cNvGraphicFramePr>
              <a:graphicFrameLocks noChangeAspect="1"/>
            </wp:cNvGraphicFramePr>
            <a:graphic>
              <a:graphicData uri="http://schemas.openxmlformats.org/drawingml/2006/picture">
                <pic:pic>
                  <pic:nvPicPr>
                    <pic:cNvPr id="0" name="eq-073.png"/>
                    <pic:cNvPicPr/>
                  </pic:nvPicPr>
                  <pic:blipFill>
                    <a:blip r:embed="rId79"/>
                    <a:stretch>
                      <a:fillRect/>
                    </a:stretch>
                  </pic:blipFill>
                  <pic:spPr>
                    <a:xfrm>
                      <a:off x="0" y="0"/>
                      <a:ext cx="1429270" cy="136221"/>
                    </a:xfrm>
                    <a:prstGeom prst="rect"/>
                  </pic:spPr>
                </pic:pic>
              </a:graphicData>
            </a:graphic>
          </wp:inline>
        </w:drawing>
      </w:r>
      <w:r>
        <w:rPr>
          <w:b w:val="0"/>
          <w:i w:val="0"/>
        </w:rPr>
        <w:t xml:space="preserve"> 为最小稳定出力比例：</w:t>
      </w:r>
    </w:p>
    <w:p>
      <w:pPr>
        <w:spacing w:after="160"/>
        <w:jc w:val="center"/>
      </w:pPr>
      <w:r>
        <w:drawing>
          <wp:inline xmlns:a="http://schemas.openxmlformats.org/drawingml/2006/main" xmlns:pic="http://schemas.openxmlformats.org/drawingml/2006/picture">
            <wp:extent cx="3599916" cy="621700"/>
            <wp:docPr id="74" name="Picture 74"/>
            <wp:cNvGraphicFramePr>
              <a:graphicFrameLocks noChangeAspect="1"/>
            </wp:cNvGraphicFramePr>
            <a:graphic>
              <a:graphicData uri="http://schemas.openxmlformats.org/drawingml/2006/picture">
                <pic:pic>
                  <pic:nvPicPr>
                    <pic:cNvPr id="0" name="eq-074.png"/>
                    <pic:cNvPicPr/>
                  </pic:nvPicPr>
                  <pic:blipFill>
                    <a:blip r:embed="rId80"/>
                    <a:stretch>
                      <a:fillRect/>
                    </a:stretch>
                  </pic:blipFill>
                  <pic:spPr>
                    <a:xfrm>
                      <a:off x="0" y="0"/>
                      <a:ext cx="3599916" cy="621700"/>
                    </a:xfrm>
                    <a:prstGeom prst="rect"/>
                  </pic:spPr>
                </pic:pic>
              </a:graphicData>
            </a:graphic>
          </wp:inline>
        </w:drawing>
      </w:r>
    </w:p>
    <w:p>
      <w:pPr>
        <w:keepNext/>
      </w:pPr>
      <w:r>
        <w:rPr>
          <w:b w:val="0"/>
          <w:i w:val="0"/>
        </w:rPr>
        <w:t xml:space="preserve">不停机段每 MWh 避免 </w:t>
      </w:r>
      <w:r>
        <w:drawing>
          <wp:inline xmlns:a="http://schemas.openxmlformats.org/drawingml/2006/main" xmlns:pic="http://schemas.openxmlformats.org/drawingml/2006/picture">
            <wp:extent cx="344290" cy="121761"/>
            <wp:docPr id="75" name="Picture 75"/>
            <wp:cNvGraphicFramePr>
              <a:graphicFrameLocks noChangeAspect="1"/>
            </wp:cNvGraphicFramePr>
            <a:graphic>
              <a:graphicData uri="http://schemas.openxmlformats.org/drawingml/2006/picture">
                <pic:pic>
                  <pic:nvPicPr>
                    <pic:cNvPr id="0" name="eq-075.png"/>
                    <pic:cNvPicPr/>
                  </pic:nvPicPr>
                  <pic:blipFill>
                    <a:blip r:embed="rId81"/>
                    <a:stretch>
                      <a:fillRect/>
                    </a:stretch>
                  </pic:blipFill>
                  <pic:spPr>
                    <a:xfrm>
                      <a:off x="0" y="0"/>
                      <a:ext cx="344290" cy="121761"/>
                    </a:xfrm>
                    <a:prstGeom prst="rect"/>
                  </pic:spPr>
                </pic:pic>
              </a:graphicData>
            </a:graphic>
          </wp:inline>
        </w:drawing>
      </w:r>
      <w:r>
        <w:rPr>
          <w:b w:val="0"/>
          <w:i w:val="0"/>
        </w:rPr>
        <w:t xml:space="preserve"> 英镑费用；停机段将预计停机时长 </w:t>
      </w:r>
      <w:r>
        <w:drawing>
          <wp:inline xmlns:a="http://schemas.openxmlformats.org/drawingml/2006/main" xmlns:pic="http://schemas.openxmlformats.org/drawingml/2006/picture">
            <wp:extent cx="676706" cy="119419"/>
            <wp:docPr id="76" name="Picture 76"/>
            <wp:cNvGraphicFramePr>
              <a:graphicFrameLocks noChangeAspect="1"/>
            </wp:cNvGraphicFramePr>
            <a:graphic>
              <a:graphicData uri="http://schemas.openxmlformats.org/drawingml/2006/picture">
                <pic:pic>
                  <pic:nvPicPr>
                    <pic:cNvPr id="0" name="eq-076.png"/>
                    <pic:cNvPicPr/>
                  </pic:nvPicPr>
                  <pic:blipFill>
                    <a:blip r:embed="rId82"/>
                    <a:stretch>
                      <a:fillRect/>
                    </a:stretch>
                  </pic:blipFill>
                  <pic:spPr>
                    <a:xfrm>
                      <a:off x="0" y="0"/>
                      <a:ext cx="676706" cy="119419"/>
                    </a:xfrm>
                    <a:prstGeom prst="rect"/>
                  </pic:spPr>
                </pic:pic>
              </a:graphicData>
            </a:graphic>
          </wp:inline>
        </w:drawing>
      </w:r>
      <w:r>
        <w:rPr>
          <w:b w:val="0"/>
          <w:i w:val="0"/>
        </w:rPr>
        <w:t xml:space="preserve"> 内的节省与重启费用 </w:t>
      </w:r>
      <w:r>
        <w:drawing>
          <wp:inline xmlns:a="http://schemas.openxmlformats.org/drawingml/2006/main" xmlns:pic="http://schemas.openxmlformats.org/drawingml/2006/picture">
            <wp:extent cx="1609902" cy="157217"/>
            <wp:docPr id="77" name="Picture 77"/>
            <wp:cNvGraphicFramePr>
              <a:graphicFrameLocks noChangeAspect="1"/>
            </wp:cNvGraphicFramePr>
            <a:graphic>
              <a:graphicData uri="http://schemas.openxmlformats.org/drawingml/2006/picture">
                <pic:pic>
                  <pic:nvPicPr>
                    <pic:cNvPr id="0" name="eq-077.png"/>
                    <pic:cNvPicPr/>
                  </pic:nvPicPr>
                  <pic:blipFill>
                    <a:blip r:embed="rId83"/>
                    <a:stretch>
                      <a:fillRect/>
                    </a:stretch>
                  </pic:blipFill>
                  <pic:spPr>
                    <a:xfrm>
                      <a:off x="0" y="0"/>
                      <a:ext cx="1609902" cy="157217"/>
                    </a:xfrm>
                    <a:prstGeom prst="rect"/>
                  </pic:spPr>
                </pic:pic>
              </a:graphicData>
            </a:graphic>
          </wp:inline>
        </w:drawing>
      </w:r>
      <w:r>
        <w:rPr>
          <w:b w:val="0"/>
          <w:i w:val="0"/>
        </w:rPr>
        <w:t xml:space="preserve"> 比较，后者按每 MW 装机每次启动计量：</w:t>
      </w:r>
    </w:p>
    <w:p>
      <w:pPr>
        <w:spacing w:after="160"/>
        <w:jc w:val="center"/>
      </w:pPr>
      <w:r>
        <w:drawing>
          <wp:inline xmlns:a="http://schemas.openxmlformats.org/drawingml/2006/main" xmlns:pic="http://schemas.openxmlformats.org/drawingml/2006/picture">
            <wp:extent cx="5253837" cy="605860"/>
            <wp:docPr id="78" name="Picture 78"/>
            <wp:cNvGraphicFramePr>
              <a:graphicFrameLocks noChangeAspect="1"/>
            </wp:cNvGraphicFramePr>
            <a:graphic>
              <a:graphicData uri="http://schemas.openxmlformats.org/drawingml/2006/picture">
                <pic:pic>
                  <pic:nvPicPr>
                    <pic:cNvPr id="0" name="eq-078.png"/>
                    <pic:cNvPicPr/>
                  </pic:nvPicPr>
                  <pic:blipFill>
                    <a:blip r:embed="rId84"/>
                    <a:stretch>
                      <a:fillRect/>
                    </a:stretch>
                  </pic:blipFill>
                  <pic:spPr>
                    <a:xfrm>
                      <a:off x="0" y="0"/>
                      <a:ext cx="5253837" cy="605860"/>
                    </a:xfrm>
                    <a:prstGeom prst="rect"/>
                  </pic:spPr>
                </pic:pic>
              </a:graphicData>
            </a:graphic>
          </wp:inline>
        </w:drawing>
      </w:r>
    </w:p>
    <w:p>
      <w:r>
        <w:rPr>
          <w:rFonts w:ascii="DejaVu Sans Mono" w:hAnsi="DejaVu Sans Mono"/>
          <w:b w:val="0"/>
          <w:i w:val="0"/>
          <w:sz w:val="17"/>
        </w:rPr>
        <w:t>SurplusOutlook.run_​after</w:t>
      </w:r>
      <w:r>
        <w:rPr>
          <w:b w:val="0"/>
          <w:i w:val="0"/>
        </w:rPr>
        <w:t xml:space="preserve"> 统计当前期之后连续满足“预测需求不高于预测风光加核电可用量”的期数，当前下调期另计一期。缺少注入可用率数组时，</w:t>
      </w:r>
      <w:r>
        <w:rPr>
          <w:rFonts w:ascii="DejaVu Sans Mono" w:hAnsi="DejaVu Sans Mono"/>
          <w:b w:val="0"/>
          <w:i w:val="0"/>
          <w:sz w:val="17"/>
        </w:rPr>
        <w:t>horizon_h = 0.5</w:t>
      </w:r>
      <w:r>
        <w:rPr>
          <w:b w:val="0"/>
          <w:i w:val="0"/>
        </w:rPr>
        <w:t xml:space="preserve"> h。在稳定出力比例处减少 1 MW，需要停运 </w:t>
      </w:r>
      <w:r>
        <w:rPr>
          <w:rFonts w:ascii="DejaVu Sans Mono" w:hAnsi="DejaVu Sans Mono"/>
          <w:b w:val="0"/>
          <w:i w:val="0"/>
          <w:sz w:val="17"/>
        </w:rPr>
        <w:t>1 / min_stable_fraction</w:t>
      </w:r>
      <w:r>
        <w:rPr>
          <w:b w:val="0"/>
          <w:i w:val="0"/>
        </w:rPr>
        <w:t xml:space="preserve"> MW 装机；重启比较因此将费用除以该比例及预计停机时长。</w:t>
      </w:r>
    </w:p>
    <w:p>
      <w:r>
        <w:rPr>
          <w:b w:val="0"/>
          <w:i w:val="0"/>
        </w:rPr>
        <w:t xml:space="preserve">当 </w:t>
      </w:r>
      <w:r>
        <w:drawing>
          <wp:inline xmlns:a="http://schemas.openxmlformats.org/drawingml/2006/main" xmlns:pic="http://schemas.openxmlformats.org/drawingml/2006/picture">
            <wp:extent cx="2223185" cy="134104"/>
            <wp:docPr id="79" name="Picture 79"/>
            <wp:cNvGraphicFramePr>
              <a:graphicFrameLocks noChangeAspect="1"/>
            </wp:cNvGraphicFramePr>
            <a:graphic>
              <a:graphicData uri="http://schemas.openxmlformats.org/drawingml/2006/picture">
                <pic:pic>
                  <pic:nvPicPr>
                    <pic:cNvPr id="0" name="eq-079.png"/>
                    <pic:cNvPicPr/>
                  </pic:nvPicPr>
                  <pic:blipFill>
                    <a:blip r:embed="rId85"/>
                    <a:stretch>
                      <a:fillRect/>
                    </a:stretch>
                  </pic:blipFill>
                  <pic:spPr>
                    <a:xfrm>
                      <a:off x="0" y="0"/>
                      <a:ext cx="2223185" cy="134104"/>
                    </a:xfrm>
                    <a:prstGeom prst="rect"/>
                  </pic:spPr>
                </pic:pic>
              </a:graphicData>
            </a:graphic>
          </wp:inline>
        </w:drawing>
      </w:r>
      <w:r>
        <w:rPr>
          <w:b w:val="0"/>
          <w:i w:val="0"/>
        </w:rPr>
        <w:t xml:space="preserve"> 时，停机段与其他资源按净节省降序排列。</w:t>
      </w:r>
      <w:r>
        <w:drawing>
          <wp:inline xmlns:a="http://schemas.openxmlformats.org/drawingml/2006/main" xmlns:pic="http://schemas.openxmlformats.org/drawingml/2006/picture">
            <wp:extent cx="506901" cy="144530"/>
            <wp:docPr id="80" name="Picture 80"/>
            <wp:cNvGraphicFramePr>
              <a:graphicFrameLocks noChangeAspect="1"/>
            </wp:cNvGraphicFramePr>
            <a:graphic>
              <a:graphicData uri="http://schemas.openxmlformats.org/drawingml/2006/picture">
                <pic:pic>
                  <pic:nvPicPr>
                    <pic:cNvPr id="0" name="eq-080.png"/>
                    <pic:cNvPicPr/>
                  </pic:nvPicPr>
                  <pic:blipFill>
                    <a:blip r:embed="rId86"/>
                    <a:stretch>
                      <a:fillRect/>
                    </a:stretch>
                  </pic:blipFill>
                  <pic:spPr>
                    <a:xfrm>
                      <a:off x="0" y="0"/>
                      <a:ext cx="506901" cy="144530"/>
                    </a:xfrm>
                    <a:prstGeom prst="rect"/>
                  </pic:spPr>
                </pic:pic>
              </a:graphicData>
            </a:graphic>
          </wp:inline>
        </w:drawing>
      </w:r>
      <w:r>
        <w:rPr>
          <w:b w:val="0"/>
          <w:i w:val="0"/>
        </w:rPr>
        <w:t xml:space="preserve"> 为正时排在零成本风光之前；为零或负时排在风光之后，取整后同值也按风光在前处理。当 </w:t>
      </w:r>
      <w:r>
        <w:drawing>
          <wp:inline xmlns:a="http://schemas.openxmlformats.org/drawingml/2006/main" xmlns:pic="http://schemas.openxmlformats.org/drawingml/2006/picture">
            <wp:extent cx="2223185" cy="134104"/>
            <wp:docPr id="81" name="Picture 81"/>
            <wp:cNvGraphicFramePr>
              <a:graphicFrameLocks noChangeAspect="1"/>
            </wp:cNvGraphicFramePr>
            <a:graphic>
              <a:graphicData uri="http://schemas.openxmlformats.org/drawingml/2006/picture">
                <pic:pic>
                  <pic:nvPicPr>
                    <pic:cNvPr id="0" name="eq-081.png"/>
                    <pic:cNvPicPr/>
                  </pic:nvPicPr>
                  <pic:blipFill>
                    <a:blip r:embed="rId87"/>
                    <a:stretch>
                      <a:fillRect/>
                    </a:stretch>
                  </pic:blipFill>
                  <pic:spPr>
                    <a:xfrm>
                      <a:off x="0" y="0"/>
                      <a:ext cx="2223185" cy="134104"/>
                    </a:xfrm>
                    <a:prstGeom prst="rect"/>
                  </pic:spPr>
                </pic:pic>
              </a:graphicData>
            </a:graphic>
          </wp:inline>
        </w:drawing>
      </w:r>
      <w:r>
        <w:rPr>
          <w:b w:val="0"/>
          <w:i w:val="0"/>
        </w:rPr>
        <w:t xml:space="preserve"> 时，该段排在其他全部可下调资源之后。这些量共同定义连续出力的排序规则；物理费用账户采用前文启动报价加价 </w:t>
      </w:r>
      <w:r>
        <w:drawing>
          <wp:inline xmlns:a="http://schemas.openxmlformats.org/drawingml/2006/main" xmlns:pic="http://schemas.openxmlformats.org/drawingml/2006/picture">
            <wp:extent cx="905535" cy="134153"/>
            <wp:docPr id="82" name="Picture 82"/>
            <wp:cNvGraphicFramePr>
              <a:graphicFrameLocks noChangeAspect="1"/>
            </wp:cNvGraphicFramePr>
            <a:graphic>
              <a:graphicData uri="http://schemas.openxmlformats.org/drawingml/2006/picture">
                <pic:pic>
                  <pic:nvPicPr>
                    <pic:cNvPr id="0" name="eq-039.png"/>
                    <pic:cNvPicPr/>
                  </pic:nvPicPr>
                  <pic:blipFill>
                    <a:blip r:embed="rId49"/>
                    <a:stretch>
                      <a:fillRect/>
                    </a:stretch>
                  </pic:blipFill>
                  <pic:spPr>
                    <a:xfrm>
                      <a:off x="0" y="0"/>
                      <a:ext cx="905535" cy="134153"/>
                    </a:xfrm>
                    <a:prstGeom prst="rect"/>
                  </pic:spPr>
                </pic:pic>
              </a:graphicData>
            </a:graphic>
          </wp:inline>
        </w:drawing>
      </w:r>
      <w:r>
        <w:rPr>
          <w:b w:val="0"/>
          <w:i w:val="0"/>
        </w:rPr>
        <w:t>⁠。</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7"/>
        <w:gridCol w:w="3469"/>
        <w:gridCol w:w="2372"/>
        <w:gridCol w:w="2314"/>
      </w:tblGrid>
      <w:tr>
        <w:trPr>
          <w:cantSplit/>
          <w:tblHeader w:val="true"/>
        </w:trPr>
        <w:tc>
          <w:tcPr>
            <w:tcW w:type="dxa" w:w="1637"/>
            <w:vAlign w:val="center"/>
            <w:tcMar>
              <w:top w:w="90" w:type="dxa"/>
              <w:left w:w="90" w:type="dxa"/>
              <w:bottom w:w="90" w:type="dxa"/>
              <w:right w:w="90" w:type="dxa"/>
            </w:tcMar>
            <w:shd w:fill="EEEEEE"/>
          </w:tcPr>
          <w:p>
            <w:pPr>
              <w:spacing w:after="40" w:line="276" w:lineRule="auto"/>
            </w:pPr>
            <w:r>
              <w:rPr>
                <w:b/>
                <w:i w:val="0"/>
                <w:sz w:val="18"/>
              </w:rPr>
              <w:t>技术</w:t>
            </w:r>
          </w:p>
        </w:tc>
        <w:tc>
          <w:tcPr>
            <w:tcW w:type="dxa" w:w="3469"/>
            <w:vAlign w:val="center"/>
            <w:tcMar>
              <w:top w:w="90" w:type="dxa"/>
              <w:left w:w="90" w:type="dxa"/>
              <w:bottom w:w="90" w:type="dxa"/>
              <w:right w:w="90" w:type="dxa"/>
            </w:tcMar>
            <w:shd w:fill="EEEEEE"/>
          </w:tcPr>
          <w:p>
            <w:pPr>
              <w:spacing w:after="40" w:line="276" w:lineRule="auto"/>
            </w:pPr>
            <w:r>
              <w:rPr>
                <w:b/>
                <w:i w:val="0"/>
                <w:sz w:val="18"/>
              </w:rPr>
              <w:t>热／温／冷重启费用，2025 年 GBP/MW</w:t>
            </w:r>
          </w:p>
        </w:tc>
        <w:tc>
          <w:tcPr>
            <w:tcW w:type="dxa" w:w="2372"/>
            <w:vAlign w:val="center"/>
            <w:tcMar>
              <w:top w:w="90" w:type="dxa"/>
              <w:left w:w="90" w:type="dxa"/>
              <w:bottom w:w="90" w:type="dxa"/>
              <w:right w:w="90" w:type="dxa"/>
            </w:tcMar>
            <w:shd w:fill="EEEEEE"/>
          </w:tcPr>
          <w:p>
            <w:pPr>
              <w:spacing w:after="40" w:line="276" w:lineRule="auto"/>
            </w:pPr>
            <w:r>
              <w:rPr>
                <w:b/>
                <w:i w:val="0"/>
                <w:sz w:val="18"/>
              </w:rPr>
              <w:t>最小稳定出力比例</w:t>
            </w:r>
          </w:p>
        </w:tc>
        <w:tc>
          <w:tcPr>
            <w:tcW w:type="dxa" w:w="2314"/>
            <w:vAlign w:val="center"/>
            <w:tcMar>
              <w:top w:w="90" w:type="dxa"/>
              <w:left w:w="90" w:type="dxa"/>
              <w:bottom w:w="90" w:type="dxa"/>
              <w:right w:w="90" w:type="dxa"/>
            </w:tcMar>
            <w:shd w:fill="EEEEEE"/>
          </w:tcPr>
          <w:p>
            <w:pPr>
              <w:spacing w:after="40" w:line="276" w:lineRule="auto"/>
            </w:pPr>
            <w:r>
              <w:rPr>
                <w:b/>
                <w:i w:val="0"/>
                <w:sz w:val="18"/>
              </w:rPr>
              <w:t>最短停机时间，h</w:t>
            </w:r>
          </w:p>
        </w:tc>
      </w:tr>
      <w:tr>
        <w:trPr>
          <w:cantSplit/>
        </w:trPr>
        <w:tc>
          <w:tcPr>
            <w:tcW w:type="dxa" w:w="1637"/>
            <w:vAlign w:val="center"/>
            <w:tcMar>
              <w:top w:w="90" w:type="dxa"/>
              <w:left w:w="90" w:type="dxa"/>
              <w:bottom w:w="90" w:type="dxa"/>
              <w:right w:w="90" w:type="dxa"/>
            </w:tcMar>
          </w:tcPr>
          <w:p>
            <w:pPr>
              <w:spacing w:after="40" w:line="276" w:lineRule="auto"/>
            </w:pPr>
            <w:r>
              <w:rPr>
                <w:b w:val="0"/>
                <w:i w:val="0"/>
                <w:sz w:val="18"/>
              </w:rPr>
              <w:t>CCGT</w:t>
            </w:r>
          </w:p>
        </w:tc>
        <w:tc>
          <w:tcPr>
            <w:tcW w:type="dxa" w:w="3469"/>
            <w:vAlign w:val="center"/>
            <w:tcMar>
              <w:top w:w="90" w:type="dxa"/>
              <w:left w:w="90" w:type="dxa"/>
              <w:bottom w:w="90" w:type="dxa"/>
              <w:right w:w="90" w:type="dxa"/>
            </w:tcMar>
          </w:tcPr>
          <w:p>
            <w:pPr>
              <w:spacing w:after="40" w:line="276" w:lineRule="auto"/>
            </w:pPr>
            <w:r>
              <w:rPr>
                <w:b w:val="0"/>
                <w:i w:val="0"/>
                <w:sz w:val="18"/>
              </w:rPr>
              <w:t>113.7 / 134.4 / 155.0</w:t>
            </w:r>
          </w:p>
        </w:tc>
        <w:tc>
          <w:tcPr>
            <w:tcW w:type="dxa" w:w="2372"/>
            <w:vAlign w:val="center"/>
            <w:tcMar>
              <w:top w:w="90" w:type="dxa"/>
              <w:left w:w="90" w:type="dxa"/>
              <w:bottom w:w="90" w:type="dxa"/>
              <w:right w:w="90" w:type="dxa"/>
            </w:tcMar>
          </w:tcPr>
          <w:p>
            <w:pPr>
              <w:spacing w:after="40" w:line="276" w:lineRule="auto"/>
            </w:pPr>
            <w:r>
              <w:rPr>
                <w:b w:val="0"/>
                <w:i w:val="0"/>
                <w:sz w:val="18"/>
              </w:rPr>
              <w:t>0.50</w:t>
            </w:r>
          </w:p>
        </w:tc>
        <w:tc>
          <w:tcPr>
            <w:tcW w:type="dxa" w:w="2314"/>
            <w:vAlign w:val="center"/>
            <w:tcMar>
              <w:top w:w="90" w:type="dxa"/>
              <w:left w:w="90" w:type="dxa"/>
              <w:bottom w:w="90" w:type="dxa"/>
              <w:right w:w="90" w:type="dxa"/>
            </w:tcMar>
          </w:tcPr>
          <w:p>
            <w:pPr>
              <w:spacing w:after="40" w:line="276" w:lineRule="auto"/>
            </w:pPr>
            <w:r>
              <w:rPr>
                <w:b w:val="0"/>
                <w:i w:val="0"/>
                <w:sz w:val="18"/>
              </w:rPr>
              <w:t>6</w:t>
            </w:r>
          </w:p>
        </w:tc>
      </w:tr>
      <w:tr>
        <w:trPr>
          <w:cantSplit/>
        </w:trPr>
        <w:tc>
          <w:tcPr>
            <w:tcW w:type="dxa" w:w="1637"/>
            <w:vAlign w:val="center"/>
            <w:tcMar>
              <w:top w:w="90" w:type="dxa"/>
              <w:left w:w="90" w:type="dxa"/>
              <w:bottom w:w="90" w:type="dxa"/>
              <w:right w:w="90" w:type="dxa"/>
            </w:tcMar>
          </w:tcPr>
          <w:p>
            <w:pPr>
              <w:spacing w:after="40" w:line="276" w:lineRule="auto"/>
            </w:pPr>
            <w:r>
              <w:rPr>
                <w:b w:val="0"/>
                <w:i w:val="0"/>
                <w:sz w:val="18"/>
              </w:rPr>
              <w:t>OCGT</w:t>
            </w:r>
          </w:p>
        </w:tc>
        <w:tc>
          <w:tcPr>
            <w:tcW w:type="dxa" w:w="3469"/>
            <w:vAlign w:val="center"/>
            <w:tcMar>
              <w:top w:w="90" w:type="dxa"/>
              <w:left w:w="90" w:type="dxa"/>
              <w:bottom w:w="90" w:type="dxa"/>
              <w:right w:w="90" w:type="dxa"/>
            </w:tcMar>
          </w:tcPr>
          <w:p>
            <w:pPr>
              <w:spacing w:after="40" w:line="276" w:lineRule="auto"/>
            </w:pPr>
            <w:r>
              <w:rPr>
                <w:b w:val="0"/>
                <w:i w:val="0"/>
                <w:sz w:val="18"/>
              </w:rPr>
              <w:t>175.7 / 175.7 / 175.7</w:t>
            </w:r>
          </w:p>
        </w:tc>
        <w:tc>
          <w:tcPr>
            <w:tcW w:type="dxa" w:w="2372"/>
            <w:vAlign w:val="center"/>
            <w:tcMar>
              <w:top w:w="90" w:type="dxa"/>
              <w:left w:w="90" w:type="dxa"/>
              <w:bottom w:w="90" w:type="dxa"/>
              <w:right w:w="90" w:type="dxa"/>
            </w:tcMar>
          </w:tcPr>
          <w:p>
            <w:pPr>
              <w:spacing w:after="40" w:line="276" w:lineRule="auto"/>
            </w:pPr>
            <w:r>
              <w:rPr>
                <w:b w:val="0"/>
                <w:i w:val="0"/>
                <w:sz w:val="18"/>
              </w:rPr>
              <w:t>0.50</w:t>
            </w:r>
          </w:p>
        </w:tc>
        <w:tc>
          <w:tcPr>
            <w:tcW w:type="dxa" w:w="2314"/>
            <w:vAlign w:val="center"/>
            <w:tcMar>
              <w:top w:w="90" w:type="dxa"/>
              <w:left w:w="90" w:type="dxa"/>
              <w:bottom w:w="90" w:type="dxa"/>
              <w:right w:w="90" w:type="dxa"/>
            </w:tcMar>
          </w:tcPr>
          <w:p>
            <w:pPr>
              <w:spacing w:after="40" w:line="276" w:lineRule="auto"/>
            </w:pPr>
            <w:r>
              <w:rPr>
                <w:b w:val="0"/>
                <w:i w:val="0"/>
                <w:sz w:val="18"/>
              </w:rPr>
              <w:t>0.5</w:t>
            </w:r>
          </w:p>
        </w:tc>
      </w:tr>
      <w:tr>
        <w:trPr>
          <w:cantSplit/>
        </w:trPr>
        <w:tc>
          <w:tcPr>
            <w:tcW w:type="dxa" w:w="1637"/>
            <w:vAlign w:val="center"/>
            <w:tcMar>
              <w:top w:w="90" w:type="dxa"/>
              <w:left w:w="90" w:type="dxa"/>
              <w:bottom w:w="90" w:type="dxa"/>
              <w:right w:w="90" w:type="dxa"/>
            </w:tcMar>
          </w:tcPr>
          <w:p>
            <w:pPr>
              <w:spacing w:after="40" w:line="276" w:lineRule="auto"/>
            </w:pPr>
            <w:r>
              <w:rPr>
                <w:b w:val="0"/>
                <w:i w:val="0"/>
                <w:sz w:val="18"/>
              </w:rPr>
              <w:t>生物质</w:t>
            </w:r>
          </w:p>
        </w:tc>
        <w:tc>
          <w:tcPr>
            <w:tcW w:type="dxa" w:w="3469"/>
            <w:vAlign w:val="center"/>
            <w:tcMar>
              <w:top w:w="90" w:type="dxa"/>
              <w:left w:w="90" w:type="dxa"/>
              <w:bottom w:w="90" w:type="dxa"/>
              <w:right w:w="90" w:type="dxa"/>
            </w:tcMar>
          </w:tcPr>
          <w:p>
            <w:pPr>
              <w:spacing w:after="40" w:line="276" w:lineRule="auto"/>
            </w:pPr>
            <w:r>
              <w:rPr>
                <w:b w:val="0"/>
                <w:i w:val="0"/>
                <w:sz w:val="18"/>
              </w:rPr>
              <w:t>129.2 / 129.2 / 129.2</w:t>
            </w:r>
          </w:p>
        </w:tc>
        <w:tc>
          <w:tcPr>
            <w:tcW w:type="dxa" w:w="2372"/>
            <w:vAlign w:val="center"/>
            <w:tcMar>
              <w:top w:w="90" w:type="dxa"/>
              <w:left w:w="90" w:type="dxa"/>
              <w:bottom w:w="90" w:type="dxa"/>
              <w:right w:w="90" w:type="dxa"/>
            </w:tcMar>
          </w:tcPr>
          <w:p>
            <w:pPr>
              <w:spacing w:after="40" w:line="276" w:lineRule="auto"/>
            </w:pPr>
            <w:r>
              <w:rPr>
                <w:b w:val="0"/>
                <w:i w:val="0"/>
                <w:sz w:val="18"/>
              </w:rPr>
              <w:t>0.35</w:t>
            </w:r>
          </w:p>
        </w:tc>
        <w:tc>
          <w:tcPr>
            <w:tcW w:type="dxa" w:w="2314"/>
            <w:vAlign w:val="center"/>
            <w:tcMar>
              <w:top w:w="90" w:type="dxa"/>
              <w:left w:w="90" w:type="dxa"/>
              <w:bottom w:w="90" w:type="dxa"/>
              <w:right w:w="90" w:type="dxa"/>
            </w:tcMar>
          </w:tcPr>
          <w:p>
            <w:pPr>
              <w:spacing w:after="40" w:line="276" w:lineRule="auto"/>
            </w:pPr>
            <w:r>
              <w:rPr>
                <w:b w:val="0"/>
                <w:i w:val="0"/>
                <w:sz w:val="18"/>
              </w:rPr>
              <w:t>6</w:t>
            </w:r>
          </w:p>
        </w:tc>
      </w:tr>
    </w:tbl>
    <w:p>
      <w:pPr>
        <w:spacing w:after="20"/>
      </w:pPr>
    </w:p>
    <w:p>
      <w:r>
        <w:rPr>
          <w:b w:val="0"/>
          <w:i w:val="0"/>
        </w:rPr>
        <w:t xml:space="preserve">CCGT 在 </w:t>
      </w:r>
      <w:r>
        <w:drawing>
          <wp:inline xmlns:a="http://schemas.openxmlformats.org/drawingml/2006/main" xmlns:pic="http://schemas.openxmlformats.org/drawingml/2006/picture">
            <wp:extent cx="1045444" cy="119419"/>
            <wp:docPr id="83" name="Picture 83"/>
            <wp:cNvGraphicFramePr>
              <a:graphicFrameLocks noChangeAspect="1"/>
            </wp:cNvGraphicFramePr>
            <a:graphic>
              <a:graphicData uri="http://schemas.openxmlformats.org/drawingml/2006/picture">
                <pic:pic>
                  <pic:nvPicPr>
                    <pic:cNvPr id="0" name="eq-083.png"/>
                    <pic:cNvPicPr/>
                  </pic:nvPicPr>
                  <pic:blipFill>
                    <a:blip r:embed="rId88"/>
                    <a:stretch>
                      <a:fillRect/>
                    </a:stretch>
                  </pic:blipFill>
                  <pic:spPr>
                    <a:xfrm>
                      <a:off x="0" y="0"/>
                      <a:ext cx="1045444" cy="119419"/>
                    </a:xfrm>
                    <a:prstGeom prst="rect"/>
                  </pic:spPr>
                </pic:pic>
              </a:graphicData>
            </a:graphic>
          </wp:inline>
        </w:drawing>
      </w:r>
      <w:r>
        <w:rPr>
          <w:b w:val="0"/>
          <w:i w:val="0"/>
        </w:rPr>
        <w:t xml:space="preserve"> h 时采用热启动值，</w:t>
      </w:r>
      <w:r>
        <w:drawing>
          <wp:inline xmlns:a="http://schemas.openxmlformats.org/drawingml/2006/main" xmlns:pic="http://schemas.openxmlformats.org/drawingml/2006/picture">
            <wp:extent cx="1414252" cy="131997"/>
            <wp:docPr id="84" name="Picture 84"/>
            <wp:cNvGraphicFramePr>
              <a:graphicFrameLocks noChangeAspect="1"/>
            </wp:cNvGraphicFramePr>
            <a:graphic>
              <a:graphicData uri="http://schemas.openxmlformats.org/drawingml/2006/picture">
                <pic:pic>
                  <pic:nvPicPr>
                    <pic:cNvPr id="0" name="eq-084.png"/>
                    <pic:cNvPicPr/>
                  </pic:nvPicPr>
                  <pic:blipFill>
                    <a:blip r:embed="rId89"/>
                    <a:stretch>
                      <a:fillRect/>
                    </a:stretch>
                  </pic:blipFill>
                  <pic:spPr>
                    <a:xfrm>
                      <a:off x="0" y="0"/>
                      <a:ext cx="1414252" cy="131997"/>
                    </a:xfrm>
                    <a:prstGeom prst="rect"/>
                  </pic:spPr>
                </pic:pic>
              </a:graphicData>
            </a:graphic>
          </wp:inline>
        </w:drawing>
      </w:r>
      <w:r>
        <w:rPr>
          <w:b w:val="0"/>
          <w:i w:val="0"/>
        </w:rPr>
        <w:t xml:space="preserve"> h 时采用温启动值，</w:t>
      </w:r>
      <w:r>
        <w:drawing>
          <wp:inline xmlns:a="http://schemas.openxmlformats.org/drawingml/2006/main" xmlns:pic="http://schemas.openxmlformats.org/drawingml/2006/picture">
            <wp:extent cx="1045444" cy="119419"/>
            <wp:docPr id="85" name="Picture 85"/>
            <wp:cNvGraphicFramePr>
              <a:graphicFrameLocks noChangeAspect="1"/>
            </wp:cNvGraphicFramePr>
            <a:graphic>
              <a:graphicData uri="http://schemas.openxmlformats.org/drawingml/2006/picture">
                <pic:pic>
                  <pic:nvPicPr>
                    <pic:cNvPr id="0" name="eq-085.png"/>
                    <pic:cNvPicPr/>
                  </pic:nvPicPr>
                  <pic:blipFill>
                    <a:blip r:embed="rId90"/>
                    <a:stretch>
                      <a:fillRect/>
                    </a:stretch>
                  </pic:blipFill>
                  <pic:spPr>
                    <a:xfrm>
                      <a:off x="0" y="0"/>
                      <a:ext cx="1045444" cy="119419"/>
                    </a:xfrm>
                    <a:prstGeom prst="rect"/>
                  </pic:spPr>
                </pic:pic>
              </a:graphicData>
            </a:graphic>
          </wp:inline>
        </w:drawing>
      </w:r>
      <w:r>
        <w:rPr>
          <w:b w:val="0"/>
          <w:i w:val="0"/>
        </w:rPr>
        <w:t xml:space="preserve"> h 时采用冷启动值。</w:t>
      </w:r>
      <w:r>
        <w:rPr>
          <w:rFonts w:ascii="DejaVu Sans Mono" w:hAnsi="DejaVu Sans Mono"/>
          <w:b w:val="0"/>
          <w:i w:val="0"/>
          <w:sz w:val="17"/>
        </w:rPr>
        <w:t>value_​thermal_​restart_​v1.json</w:t>
      </w:r>
      <w:r>
        <w:rPr>
          <w:b w:val="0"/>
          <w:i w:val="0"/>
        </w:rPr>
        <w:t xml:space="preserve"> 综合 </w:t>
      </w:r>
      <w:r>
        <w:rPr>
          <w:b w:val="0"/>
          <w:i w:val="0"/>
        </w:rPr>
        <w:t>Kumar 等（2012）</w:t>
      </w:r>
      <w:r>
        <w:rPr>
          <w:b w:val="0"/>
          <w:i w:val="0"/>
        </w:rPr>
        <w:t xml:space="preserve"> 的循环磨损估计与 </w:t>
      </w:r>
      <w:r>
        <w:rPr>
          <w:b w:val="0"/>
          <w:i w:val="0"/>
        </w:rPr>
        <w:t>Staffell 和 Green（2016）</w:t>
      </w:r>
      <w:r>
        <w:rPr>
          <w:b w:val="0"/>
          <w:i w:val="0"/>
        </w:rPr>
        <w:t xml:space="preserve"> 的 GB 启动燃料和碳费用估计。最小出力和停机时间参考 Elexon 申报值及参数表记录的技术资料。参数表以 </w:t>
      </w:r>
      <w:r>
        <w:rPr>
          <w:b w:val="0"/>
          <w:i w:val="0"/>
        </w:rPr>
        <w:t>ONS CPI D7BT</w:t>
      </w:r>
      <w:r>
        <w:rPr>
          <w:b w:val="0"/>
          <w:i w:val="0"/>
        </w:rPr>
        <w:t xml:space="preserve"> 的 </w:t>
      </w:r>
      <w:r>
        <w:drawing>
          <wp:inline xmlns:a="http://schemas.openxmlformats.org/drawingml/2006/main" xmlns:pic="http://schemas.openxmlformats.org/drawingml/2006/picture">
            <wp:extent cx="799014" cy="157286"/>
            <wp:docPr id="86" name="Picture 86"/>
            <wp:cNvGraphicFramePr>
              <a:graphicFrameLocks noChangeAspect="1"/>
            </wp:cNvGraphicFramePr>
            <a:graphic>
              <a:graphicData uri="http://schemas.openxmlformats.org/drawingml/2006/picture">
                <pic:pic>
                  <pic:nvPicPr>
                    <pic:cNvPr id="0" name="eq-086.png"/>
                    <pic:cNvPicPr/>
                  </pic:nvPicPr>
                  <pic:blipFill>
                    <a:blip r:embed="rId91"/>
                    <a:stretch>
                      <a:fillRect/>
                    </a:stretch>
                  </pic:blipFill>
                  <pic:spPr>
                    <a:xfrm>
                      <a:off x="0" y="0"/>
                      <a:ext cx="799014" cy="157286"/>
                    </a:xfrm>
                    <a:prstGeom prst="rect"/>
                  </pic:spPr>
                </pic:pic>
              </a:graphicData>
            </a:graphic>
          </wp:inline>
        </w:drawing>
      </w:r>
      <w:r>
        <w:rPr>
          <w:b w:val="0"/>
          <w:i w:val="0"/>
        </w:rPr>
        <w:t xml:space="preserve"> 将选定的 2024 年英镑值换算为 2025 年英镑，并将重启费用保留一位小数；记录的换算系数为 1.0336。</w:t>
      </w:r>
    </w:p>
    <w:p>
      <w:r>
        <w:rPr>
          <w:rFonts w:ascii="DejaVu Sans Mono" w:hAnsi="DejaVu Sans Mono"/>
          <w:b w:val="0"/>
          <w:i w:val="0"/>
          <w:sz w:val="17"/>
        </w:rPr>
        <w:t>RestartParameters.break_​even_​hours</w:t>
      </w:r>
      <w:r>
        <w:rPr>
          <w:b w:val="0"/>
          <w:i w:val="0"/>
        </w:rPr>
        <w:t xml:space="preserve"> 将重启费用除以 </w:t>
      </w:r>
      <w:r>
        <w:rPr>
          <w:rFonts w:ascii="DejaVu Sans Mono" w:hAnsi="DejaVu Sans Mono"/>
          <w:b w:val="0"/>
          <w:i w:val="0"/>
          <w:sz w:val="17"/>
        </w:rPr>
        <w:t>min_stable_fraction</w:t>
      </w:r>
      <w:r>
        <w:rPr>
          <w:b w:val="0"/>
          <w:i w:val="0"/>
        </w:rPr>
        <w:t xml:space="preserve"> 与避免费用的乘积。按 GB 运行费用，热启动 CCGT、OCGT、生物质的盈亏平衡时长分别为 4.13 h、4.69 h、4.34 h。因此，满足 6 h 条件的 CCGT 和生物质停机段具有正净节省，OCGT 在半小时时钟上从 5 h 开始取得正净节省。CCGT 六小时停机对应的费用边界为 113.7 / (0.5 × 6) = 37.9 £/MWh。</w:t>
      </w:r>
    </w:p>
    <w:p>
      <w:pPr>
        <w:keepNext/>
      </w:pPr>
      <w:r>
        <w:rPr>
          <w:b w:val="0"/>
          <w:i w:val="0"/>
        </w:rPr>
        <w:t>相同的取整净节省依次采用类别值：火电 0、进口 0.5、水电与生物质 1、风光 2、停机段 2.5、核电 3，再按名称和输入顺序排列。每次接纳的下调量消耗一次剩余需求：</w:t>
      </w:r>
    </w:p>
    <w:p>
      <w:pPr>
        <w:spacing w:after="160"/>
        <w:jc w:val="center"/>
      </w:pPr>
      <w:r>
        <w:drawing>
          <wp:inline xmlns:a="http://schemas.openxmlformats.org/drawingml/2006/main" xmlns:pic="http://schemas.openxmlformats.org/drawingml/2006/picture">
            <wp:extent cx="3219678" cy="621983"/>
            <wp:docPr id="87" name="Picture 87"/>
            <wp:cNvGraphicFramePr>
              <a:graphicFrameLocks noChangeAspect="1"/>
            </wp:cNvGraphicFramePr>
            <a:graphic>
              <a:graphicData uri="http://schemas.openxmlformats.org/drawingml/2006/picture">
                <pic:pic>
                  <pic:nvPicPr>
                    <pic:cNvPr id="0" name="eq-087.png"/>
                    <pic:cNvPicPr/>
                  </pic:nvPicPr>
                  <pic:blipFill>
                    <a:blip r:embed="rId92"/>
                    <a:stretch>
                      <a:fillRect/>
                    </a:stretch>
                  </pic:blipFill>
                  <pic:spPr>
                    <a:xfrm>
                      <a:off x="0" y="0"/>
                      <a:ext cx="3219678" cy="621983"/>
                    </a:xfrm>
                    <a:prstGeom prst="rect"/>
                  </pic:spPr>
                </pic:pic>
              </a:graphicData>
            </a:graphic>
          </wp:inline>
        </w:drawing>
      </w:r>
    </w:p>
    <w:p>
      <w:r>
        <w:rPr>
          <w:rFonts w:ascii="DejaVu Sans Mono" w:hAnsi="DejaVu Sans Mono"/>
          <w:b w:val="0"/>
          <w:i w:val="0"/>
          <w:sz w:val="17"/>
        </w:rPr>
        <w:t>limit</w:t>
      </w:r>
      <w:r>
        <w:rPr>
          <w:b w:val="0"/>
          <w:i w:val="0"/>
        </w:rPr>
        <w:t xml:space="preserve"> 为报价段可下调 MW，</w:t>
      </w:r>
      <w:r>
        <w:rPr>
          <w:rFonts w:ascii="DejaVu Sans Mono" w:hAnsi="DejaVu Sans Mono"/>
          <w:b w:val="0"/>
          <w:i w:val="0"/>
          <w:sz w:val="17"/>
        </w:rPr>
        <w:t>item[2]</w:t>
      </w:r>
      <w:r>
        <w:rPr>
          <w:b w:val="0"/>
          <w:i w:val="0"/>
        </w:rPr>
        <w:t xml:space="preserve"> 为该行剩余接纳出力，</w:t>
      </w:r>
      <w:r>
        <w:rPr>
          <w:rFonts w:ascii="DejaVu Sans Mono" w:hAnsi="DejaVu Sans Mono"/>
          <w:b w:val="0"/>
          <w:i w:val="0"/>
          <w:sz w:val="17"/>
        </w:rPr>
        <w:t>remaining</w:t>
      </w:r>
      <w:r>
        <w:rPr>
          <w:b w:val="0"/>
          <w:i w:val="0"/>
        </w:rPr>
        <w:t xml:space="preserve"> 为尚需下调的量。水电与生物质将下调量返回累计预算，受爬坡下限保留的出力记为调度内溢出。</w:t>
      </w:r>
      <w:r>
        <w:rPr>
          <w:rFonts w:ascii="DejaVu Sans Mono" w:hAnsi="DejaVu Sans Mono"/>
          <w:b w:val="0"/>
          <w:i w:val="0"/>
          <w:sz w:val="17"/>
        </w:rPr>
        <w:t>native_​corrected.economic_​downward_​stack</w:t>
      </w:r>
      <w:r>
        <w:rPr>
          <w:b w:val="0"/>
          <w:i w:val="0"/>
        </w:rPr>
        <w:t xml:space="preserve"> 执行这些下调。下调在 </w:t>
      </w:r>
      <w:r>
        <w:rPr>
          <w:rFonts w:ascii="DejaVu Sans Mono" w:hAnsi="DejaVu Sans Mono"/>
          <w:b w:val="0"/>
          <w:i w:val="0"/>
          <w:sz w:val="17"/>
        </w:rPr>
        <w:t>remaining</w:t>
      </w:r>
      <w:r>
        <w:rPr>
          <w:b w:val="0"/>
          <w:i w:val="0"/>
        </w:rPr>
        <w:t xml:space="preserve"> 至多为 </w:t>
      </w:r>
      <w:r>
        <w:drawing>
          <wp:inline xmlns:a="http://schemas.openxmlformats.org/drawingml/2006/main" xmlns:pic="http://schemas.openxmlformats.org/drawingml/2006/picture">
            <wp:extent cx="313975" cy="140242"/>
            <wp:docPr id="88" name="Picture 88"/>
            <wp:cNvGraphicFramePr>
              <a:graphicFrameLocks noChangeAspect="1"/>
            </wp:cNvGraphicFramePr>
            <a:graphic>
              <a:graphicData uri="http://schemas.openxmlformats.org/drawingml/2006/picture">
                <pic:pic>
                  <pic:nvPicPr>
                    <pic:cNvPr id="0" name="eq-088.png"/>
                    <pic:cNvPicPr/>
                  </pic:nvPicPr>
                  <pic:blipFill>
                    <a:blip r:embed="rId93"/>
                    <a:stretch>
                      <a:fillRect/>
                    </a:stretch>
                  </pic:blipFill>
                  <pic:spPr>
                    <a:xfrm>
                      <a:off x="0" y="0"/>
                      <a:ext cx="313975" cy="140242"/>
                    </a:xfrm>
                    <a:prstGeom prst="rect"/>
                  </pic:spPr>
                </pic:pic>
              </a:graphicData>
            </a:graphic>
          </wp:inline>
        </w:drawing>
      </w:r>
      <w:r>
        <w:rPr>
          <w:b w:val="0"/>
          <w:i w:val="0"/>
        </w:rPr>
        <w:t xml:space="preserve"> MW 或所有可下调段耗尽时结束。</w:t>
      </w:r>
    </w:p>
    <w:p>
      <w:pPr>
        <w:pStyle w:val="Heading2"/>
      </w:pPr>
      <w:r>
        <w:rPr>
          <w:b w:val="0"/>
          <w:i w:val="0"/>
        </w:rPr>
        <w:t>结算、显示价格与物理费用</w:t>
      </w:r>
    </w:p>
    <w:p>
      <w:pPr>
        <w:keepNext/>
      </w:pPr>
      <w:r>
        <w:rPr>
          <w:b w:val="0"/>
          <w:i w:val="0"/>
        </w:rPr>
        <w:t>市场对各阶段全部接纳供给采用统一边际价。日前取包含进口与储能在内的最高接纳报价，</w:t>
      </w:r>
      <w:r>
        <w:rPr>
          <w:rFonts w:ascii="DejaVu Sans Mono" w:hAnsi="DejaVu Sans Mono"/>
          <w:b w:val="0"/>
          <w:i w:val="0"/>
          <w:sz w:val="17"/>
        </w:rPr>
        <w:t>uniform_income</w:t>
      </w:r>
      <w:r>
        <w:rPr>
          <w:b w:val="0"/>
          <w:i w:val="0"/>
        </w:rPr>
        <w:t xml:space="preserve"> 将接纳 </w:t>
      </w:r>
      <w:r>
        <w:rPr>
          <w:rFonts w:ascii="DejaVu Sans Mono" w:hAnsi="DejaVu Sans Mono"/>
          <w:b w:val="0"/>
          <w:i w:val="0"/>
          <w:sz w:val="17"/>
        </w:rPr>
        <w:t>power_mw</w:t>
      </w:r>
      <w:r>
        <w:rPr>
          <w:b w:val="0"/>
          <w:i w:val="0"/>
        </w:rPr>
        <w:t xml:space="preserve"> 乘时段长度及阶段 </w:t>
      </w:r>
      <w:r>
        <w:rPr>
          <w:rFonts w:ascii="DejaVu Sans Mono" w:hAnsi="DejaVu Sans Mono"/>
          <w:b w:val="0"/>
          <w:i w:val="0"/>
          <w:sz w:val="17"/>
        </w:rPr>
        <w:t>price_gbp_per_mwh</w:t>
      </w:r>
      <w:r>
        <w:rPr>
          <w:b w:val="0"/>
          <w:i w:val="0"/>
        </w:rPr>
        <w:t>；平衡价格同样包含接纳进口报价。</w:t>
      </w:r>
      <w:r>
        <w:rPr>
          <w:rFonts w:ascii="DejaVu Sans Mono" w:hAnsi="DejaVu Sans Mono"/>
          <w:b w:val="0"/>
          <w:i w:val="0"/>
          <w:sz w:val="17"/>
        </w:rPr>
        <w:t>income</w:t>
      </w:r>
      <w:r>
        <w:rPr>
          <w:b w:val="0"/>
          <w:i w:val="0"/>
        </w:rPr>
        <w:t xml:space="preserve"> 为 GBP，</w:t>
      </w:r>
      <w:r>
        <w:rPr>
          <w:rFonts w:ascii="DejaVu Sans Mono" w:hAnsi="DejaVu Sans Mono"/>
          <w:b w:val="0"/>
          <w:i w:val="0"/>
          <w:sz w:val="17"/>
        </w:rPr>
        <w:t>power_mw</w:t>
      </w:r>
      <w:r>
        <w:rPr>
          <w:b w:val="0"/>
          <w:i w:val="0"/>
        </w:rPr>
        <w:t xml:space="preserve"> 为 MW，价格为 GBP/MWh；空接纳类别向最大值计算提供零：</w:t>
      </w:r>
    </w:p>
    <w:p>
      <w:pPr>
        <w:spacing w:after="160"/>
        <w:jc w:val="center"/>
      </w:pPr>
      <w:r>
        <w:drawing>
          <wp:inline xmlns:a="http://schemas.openxmlformats.org/drawingml/2006/main" xmlns:pic="http://schemas.openxmlformats.org/drawingml/2006/picture">
            <wp:extent cx="4659782" cy="182916"/>
            <wp:docPr id="89" name="Picture 89"/>
            <wp:cNvGraphicFramePr>
              <a:graphicFrameLocks noChangeAspect="1"/>
            </wp:cNvGraphicFramePr>
            <a:graphic>
              <a:graphicData uri="http://schemas.openxmlformats.org/drawingml/2006/picture">
                <pic:pic>
                  <pic:nvPicPr>
                    <pic:cNvPr id="0" name="eq-089.png"/>
                    <pic:cNvPicPr/>
                  </pic:nvPicPr>
                  <pic:blipFill>
                    <a:blip r:embed="rId94"/>
                    <a:stretch>
                      <a:fillRect/>
                    </a:stretch>
                  </pic:blipFill>
                  <pic:spPr>
                    <a:xfrm>
                      <a:off x="0" y="0"/>
                      <a:ext cx="4659782" cy="182916"/>
                    </a:xfrm>
                    <a:prstGeom prst="rect"/>
                  </pic:spPr>
                </pic:pic>
              </a:graphicData>
            </a:graphic>
          </wp:inline>
        </w:drawing>
      </w:r>
    </w:p>
    <w:p>
      <w:pPr>
        <w:spacing w:after="160"/>
        <w:jc w:val="center"/>
      </w:pPr>
      <w:r>
        <w:drawing>
          <wp:inline xmlns:a="http://schemas.openxmlformats.org/drawingml/2006/main" xmlns:pic="http://schemas.openxmlformats.org/drawingml/2006/picture">
            <wp:extent cx="6217920" cy="319843"/>
            <wp:docPr id="90" name="Picture 90"/>
            <wp:cNvGraphicFramePr>
              <a:graphicFrameLocks noChangeAspect="1"/>
            </wp:cNvGraphicFramePr>
            <a:graphic>
              <a:graphicData uri="http://schemas.openxmlformats.org/drawingml/2006/picture">
                <pic:pic>
                  <pic:nvPicPr>
                    <pic:cNvPr id="0" name="eq-090.png"/>
                    <pic:cNvPicPr/>
                  </pic:nvPicPr>
                  <pic:blipFill>
                    <a:blip r:embed="rId95"/>
                    <a:stretch>
                      <a:fillRect/>
                    </a:stretch>
                  </pic:blipFill>
                  <pic:spPr>
                    <a:xfrm>
                      <a:off x="0" y="0"/>
                      <a:ext cx="6217920" cy="319843"/>
                    </a:xfrm>
                    <a:prstGeom prst="rect"/>
                  </pic:spPr>
                </pic:pic>
              </a:graphicData>
            </a:graphic>
          </wp:inline>
        </w:drawing>
      </w:r>
    </w:p>
    <w:p>
      <w:r>
        <w:rPr>
          <w:b w:val="0"/>
          <w:i w:val="0"/>
        </w:rPr>
        <w:t>储能费用在本期内结算。被回购的储能出力保留日前报酬，物理调度及年度送出电量采用期末净头寸。</w:t>
      </w:r>
    </w:p>
    <w:p>
      <w:pPr>
        <w:keepNext/>
      </w:pPr>
      <w:r>
        <w:rPr>
          <w:b w:val="0"/>
          <w:i w:val="0"/>
        </w:rPr>
        <w:t xml:space="preserve">市场显示价格的标签为“Average period cost (£/MWh demand)”，即每 MWh 需求的时段平均费用。设 </w:t>
      </w:r>
      <w:r>
        <w:drawing>
          <wp:inline xmlns:a="http://schemas.openxmlformats.org/drawingml/2006/main" xmlns:pic="http://schemas.openxmlformats.org/drawingml/2006/picture">
            <wp:extent cx="1046352" cy="148880"/>
            <wp:docPr id="91" name="Picture 91"/>
            <wp:cNvGraphicFramePr>
              <a:graphicFrameLocks noChangeAspect="1"/>
            </wp:cNvGraphicFramePr>
            <a:graphic>
              <a:graphicData uri="http://schemas.openxmlformats.org/drawingml/2006/picture">
                <pic:pic>
                  <pic:nvPicPr>
                    <pic:cNvPr id="0" name="eq-091.png"/>
                    <pic:cNvPicPr/>
                  </pic:nvPicPr>
                  <pic:blipFill>
                    <a:blip r:embed="rId96"/>
                    <a:stretch>
                      <a:fillRect/>
                    </a:stretch>
                  </pic:blipFill>
                  <pic:spPr>
                    <a:xfrm>
                      <a:off x="0" y="0"/>
                      <a:ext cx="1046352" cy="148880"/>
                    </a:xfrm>
                    <a:prstGeom prst="rect"/>
                  </pic:spPr>
                </pic:pic>
              </a:graphicData>
            </a:graphic>
          </wp:inline>
        </w:drawing>
      </w:r>
      <w:r>
        <w:rPr>
          <w:b w:val="0"/>
          <w:i w:val="0"/>
        </w:rPr>
        <w:t xml:space="preserve"> 为接纳报价、储能、下调及上调费用的累加器，其单位为 GBP/小时。价格单位为 GBP/MWh，对应期间费用为 GBP：</w:t>
      </w:r>
    </w:p>
    <w:p>
      <w:pPr>
        <w:spacing w:after="160"/>
        <w:jc w:val="center"/>
      </w:pPr>
      <w:r>
        <w:drawing>
          <wp:inline xmlns:a="http://schemas.openxmlformats.org/drawingml/2006/main" xmlns:pic="http://schemas.openxmlformats.org/drawingml/2006/picture">
            <wp:extent cx="6180658" cy="637723"/>
            <wp:docPr id="92" name="Picture 92"/>
            <wp:cNvGraphicFramePr>
              <a:graphicFrameLocks noChangeAspect="1"/>
            </wp:cNvGraphicFramePr>
            <a:graphic>
              <a:graphicData uri="http://schemas.openxmlformats.org/drawingml/2006/picture">
                <pic:pic>
                  <pic:nvPicPr>
                    <pic:cNvPr id="0" name="eq-092.png"/>
                    <pic:cNvPicPr/>
                  </pic:nvPicPr>
                  <pic:blipFill>
                    <a:blip r:embed="rId97"/>
                    <a:stretch>
                      <a:fillRect/>
                    </a:stretch>
                  </pic:blipFill>
                  <pic:spPr>
                    <a:xfrm>
                      <a:off x="0" y="0"/>
                      <a:ext cx="6180658" cy="637723"/>
                    </a:xfrm>
                    <a:prstGeom prst="rect"/>
                  </pic:spPr>
                </pic:pic>
              </a:graphicData>
            </a:graphic>
          </wp:inline>
        </w:drawing>
      </w:r>
    </w:p>
    <w:p>
      <w:r>
        <w:rPr>
          <w:b w:val="0"/>
          <w:i w:val="0"/>
        </w:rPr>
        <w:t>这一统计量描述实际需求的每 MWh 费用；发电与储能收入根据前述结算账户计算。</w:t>
      </w:r>
      <w:r>
        <w:drawing>
          <wp:inline xmlns:a="http://schemas.openxmlformats.org/drawingml/2006/main" xmlns:pic="http://schemas.openxmlformats.org/drawingml/2006/picture">
            <wp:extent cx="1046352" cy="148880"/>
            <wp:docPr id="93" name="Picture 93"/>
            <wp:cNvGraphicFramePr>
              <a:graphicFrameLocks noChangeAspect="1"/>
            </wp:cNvGraphicFramePr>
            <a:graphic>
              <a:graphicData uri="http://schemas.openxmlformats.org/drawingml/2006/picture">
                <pic:pic>
                  <pic:nvPicPr>
                    <pic:cNvPr id="0" name="eq-091.png"/>
                    <pic:cNvPicPr/>
                  </pic:nvPicPr>
                  <pic:blipFill>
                    <a:blip r:embed="rId96"/>
                    <a:stretch>
                      <a:fillRect/>
                    </a:stretch>
                  </pic:blipFill>
                  <pic:spPr>
                    <a:xfrm>
                      <a:off x="0" y="0"/>
                      <a:ext cx="1046352" cy="148880"/>
                    </a:xfrm>
                    <a:prstGeom prst="rect"/>
                  </pic:spPr>
                </pic:pic>
              </a:graphicData>
            </a:graphic>
          </wp:inline>
        </w:drawing>
      </w:r>
      <w:r>
        <w:rPr>
          <w:b w:val="0"/>
          <w:i w:val="0"/>
        </w:rPr>
        <w:t xml:space="preserve"> 仅包含本期储能费用。最终边界供给进入年度发电量统计，储能放电量另行报告。</w:t>
      </w:r>
    </w:p>
    <w:p>
      <w:r>
        <w:rPr>
          <w:b w:val="0"/>
          <w:i w:val="0"/>
        </w:rPr>
        <w:t xml:space="preserve">物理运营费用按综合 </w:t>
      </w:r>
      <w:r>
        <w:rPr>
          <w:rFonts w:ascii="DejaVu Sans Mono" w:hAnsi="DejaVu Sans Mono"/>
          <w:b w:val="0"/>
          <w:i w:val="0"/>
          <w:sz w:val="17"/>
        </w:rPr>
        <w:t>gen_cost</w:t>
      </w:r>
      <w:r>
        <w:rPr>
          <w:b w:val="0"/>
          <w:i w:val="0"/>
        </w:rPr>
        <w:t xml:space="preserve"> 计量实际发电、按 </w:t>
      </w:r>
      <w:r>
        <w:rPr>
          <w:rFonts w:ascii="DejaVu Sans Mono" w:hAnsi="DejaVu Sans Mono"/>
          <w:b w:val="0"/>
          <w:i w:val="0"/>
          <w:sz w:val="17"/>
        </w:rPr>
        <w:t>external_price</w:t>
      </w:r>
      <w:r>
        <w:rPr>
          <w:b w:val="0"/>
          <w:i w:val="0"/>
        </w:rPr>
        <w:t xml:space="preserve"> 计量进口，并以 </w:t>
      </w:r>
      <w:r>
        <w:rPr>
          <w:rFonts w:ascii="DejaVu Sans Mono" w:hAnsi="DejaVu Sans Mono"/>
          <w:b w:val="0"/>
          <w:i w:val="0"/>
          <w:sz w:val="17"/>
        </w:rPr>
        <w:t>startup_cost</w:t>
      </w:r>
      <w:r>
        <w:rPr>
          <w:b w:val="0"/>
          <w:i w:val="0"/>
        </w:rPr>
        <w:t xml:space="preserve"> 乘启动期发电 MWh 计量启动加价。</w:t>
      </w:r>
      <w:r>
        <w:rPr>
          <w:rFonts w:ascii="DejaVu Sans Mono" w:hAnsi="DejaVu Sans Mono"/>
          <w:b w:val="0"/>
          <w:i w:val="0"/>
          <w:sz w:val="17"/>
        </w:rPr>
        <w:t>physical_cost_terms</w:t>
      </w:r>
      <w:r>
        <w:rPr>
          <w:b w:val="0"/>
          <w:i w:val="0"/>
        </w:rPr>
        <w:t xml:space="preserve"> 返回各期的 </w:t>
      </w:r>
      <w:r>
        <w:rPr>
          <w:rFonts w:ascii="DejaVu Sans Mono" w:hAnsi="DejaVu Sans Mono"/>
          <w:b w:val="0"/>
          <w:i w:val="0"/>
          <w:sz w:val="17"/>
        </w:rPr>
        <w:t>generation_variable_gbp</w:t>
      </w:r>
      <w:r>
        <w:rPr>
          <w:b w:val="0"/>
          <w:i w:val="0"/>
        </w:rPr>
        <w:t>、</w:t>
      </w:r>
      <w:r>
        <w:rPr>
          <w:rFonts w:ascii="DejaVu Sans Mono" w:hAnsi="DejaVu Sans Mono"/>
          <w:b w:val="0"/>
          <w:i w:val="0"/>
          <w:sz w:val="17"/>
        </w:rPr>
        <w:t>import_variable_gbp</w:t>
      </w:r>
      <w:r>
        <w:rPr>
          <w:b w:val="0"/>
          <w:i w:val="0"/>
        </w:rPr>
        <w:t xml:space="preserve"> 和 </w:t>
      </w:r>
      <w:r>
        <w:rPr>
          <w:rFonts w:ascii="DejaVu Sans Mono" w:hAnsi="DejaVu Sans Mono"/>
          <w:b w:val="0"/>
          <w:i w:val="0"/>
          <w:sz w:val="17"/>
        </w:rPr>
        <w:t>startup_adder_gbp</w:t>
      </w:r>
      <w:r>
        <w:rPr>
          <w:b w:val="0"/>
          <w:i w:val="0"/>
        </w:rPr>
        <w:t>。第 6 章将这些分项与储能折旧、缺电估值和年度资本费用合并。</w:t>
      </w:r>
    </w:p>
    <w:p>
      <w:pPr>
        <w:pStyle w:val="Heading2"/>
      </w:pPr>
      <w:r>
        <w:rPr>
          <w:b w:val="0"/>
          <w:i w:val="0"/>
        </w:rPr>
        <w:t>电量平衡与年度输出</w:t>
      </w:r>
    </w:p>
    <w:p>
      <w:pPr>
        <w:keepNext/>
      </w:pPr>
      <w:r>
        <w:rPr>
          <w:b w:val="0"/>
          <w:i w:val="0"/>
        </w:rPr>
        <w:t xml:space="preserve">期间电量平衡边界包含接纳毛供给、充电、出口、柔性需求和非风光溢出。本节各量均以 MWh 表示。设接纳供给为 </w:t>
      </w:r>
      <w:r>
        <w:drawing>
          <wp:inline xmlns:a="http://schemas.openxmlformats.org/drawingml/2006/main" xmlns:pic="http://schemas.openxmlformats.org/drawingml/2006/picture">
            <wp:extent cx="1595234" cy="148833"/>
            <wp:docPr id="94" name="Picture 94"/>
            <wp:cNvGraphicFramePr>
              <a:graphicFrameLocks noChangeAspect="1"/>
            </wp:cNvGraphicFramePr>
            <a:graphic>
              <a:graphicData uri="http://schemas.openxmlformats.org/drawingml/2006/picture">
                <pic:pic>
                  <pic:nvPicPr>
                    <pic:cNvPr id="0" name="eq-094.png"/>
                    <pic:cNvPicPr/>
                  </pic:nvPicPr>
                  <pic:blipFill>
                    <a:blip r:embed="rId98"/>
                    <a:stretch>
                      <a:fillRect/>
                    </a:stretch>
                  </pic:blipFill>
                  <pic:spPr>
                    <a:xfrm>
                      <a:off x="0" y="0"/>
                      <a:ext cx="1595234" cy="148833"/>
                    </a:xfrm>
                    <a:prstGeom prst="rect"/>
                  </pic:spPr>
                </pic:pic>
              </a:graphicData>
            </a:graphic>
          </wp:inline>
        </w:drawing>
      </w:r>
      <w:r>
        <w:rPr>
          <w:b w:val="0"/>
          <w:i w:val="0"/>
        </w:rPr>
        <w:t xml:space="preserve">⁠、记录切负荷为 </w:t>
      </w:r>
      <w:r>
        <w:drawing>
          <wp:inline xmlns:a="http://schemas.openxmlformats.org/drawingml/2006/main" xmlns:pic="http://schemas.openxmlformats.org/drawingml/2006/picture">
            <wp:extent cx="1058856" cy="134192"/>
            <wp:docPr id="95" name="Picture 95"/>
            <wp:cNvGraphicFramePr>
              <a:graphicFrameLocks noChangeAspect="1"/>
            </wp:cNvGraphicFramePr>
            <a:graphic>
              <a:graphicData uri="http://schemas.openxmlformats.org/drawingml/2006/picture">
                <pic:pic>
                  <pic:nvPicPr>
                    <pic:cNvPr id="0" name="eq-095.png"/>
                    <pic:cNvPicPr/>
                  </pic:nvPicPr>
                  <pic:blipFill>
                    <a:blip r:embed="rId99"/>
                    <a:stretch>
                      <a:fillRect/>
                    </a:stretch>
                  </pic:blipFill>
                  <pic:spPr>
                    <a:xfrm>
                      <a:off x="0" y="0"/>
                      <a:ext cx="1058856" cy="134192"/>
                    </a:xfrm>
                    <a:prstGeom prst="rect"/>
                  </pic:spPr>
                </pic:pic>
              </a:graphicData>
            </a:graphic>
          </wp:inline>
        </w:drawing>
      </w:r>
      <w:r>
        <w:rPr>
          <w:b w:val="0"/>
          <w:i w:val="0"/>
        </w:rPr>
        <w:t xml:space="preserve">⁠、实际需求为 </w:t>
      </w:r>
      <w:r>
        <w:drawing>
          <wp:inline xmlns:a="http://schemas.openxmlformats.org/drawingml/2006/main" xmlns:pic="http://schemas.openxmlformats.org/drawingml/2006/picture">
            <wp:extent cx="1344542" cy="134035"/>
            <wp:docPr id="96" name="Picture 96"/>
            <wp:cNvGraphicFramePr>
              <a:graphicFrameLocks noChangeAspect="1"/>
            </wp:cNvGraphicFramePr>
            <a:graphic>
              <a:graphicData uri="http://schemas.openxmlformats.org/drawingml/2006/picture">
                <pic:pic>
                  <pic:nvPicPr>
                    <pic:cNvPr id="0" name="eq-096.png"/>
                    <pic:cNvPicPr/>
                  </pic:nvPicPr>
                  <pic:blipFill>
                    <a:blip r:embed="rId100"/>
                    <a:stretch>
                      <a:fillRect/>
                    </a:stretch>
                  </pic:blipFill>
                  <pic:spPr>
                    <a:xfrm>
                      <a:off x="0" y="0"/>
                      <a:ext cx="1344542" cy="134035"/>
                    </a:xfrm>
                    <a:prstGeom prst="rect"/>
                  </pic:spPr>
                </pic:pic>
              </a:graphicData>
            </a:graphic>
          </wp:inline>
        </w:drawing>
      </w:r>
      <w:r>
        <w:rPr>
          <w:b w:val="0"/>
          <w:i w:val="0"/>
        </w:rPr>
        <w:t xml:space="preserve">⁠、储能充电为 </w:t>
      </w:r>
      <w:r>
        <w:drawing>
          <wp:inline xmlns:a="http://schemas.openxmlformats.org/drawingml/2006/main" xmlns:pic="http://schemas.openxmlformats.org/drawingml/2006/picture">
            <wp:extent cx="1486198" cy="148829"/>
            <wp:docPr id="97" name="Picture 97"/>
            <wp:cNvGraphicFramePr>
              <a:graphicFrameLocks noChangeAspect="1"/>
            </wp:cNvGraphicFramePr>
            <a:graphic>
              <a:graphicData uri="http://schemas.openxmlformats.org/drawingml/2006/picture">
                <pic:pic>
                  <pic:nvPicPr>
                    <pic:cNvPr id="0" name="eq-097.png"/>
                    <pic:cNvPicPr/>
                  </pic:nvPicPr>
                  <pic:blipFill>
                    <a:blip r:embed="rId101"/>
                    <a:stretch>
                      <a:fillRect/>
                    </a:stretch>
                  </pic:blipFill>
                  <pic:spPr>
                    <a:xfrm>
                      <a:off x="0" y="0"/>
                      <a:ext cx="1486198" cy="148829"/>
                    </a:xfrm>
                    <a:prstGeom prst="rect"/>
                  </pic:spPr>
                </pic:pic>
              </a:graphicData>
            </a:graphic>
          </wp:inline>
        </w:drawing>
      </w:r>
      <w:r>
        <w:rPr>
          <w:b w:val="0"/>
          <w:i w:val="0"/>
        </w:rPr>
        <w:t xml:space="preserve">⁠、出口为 </w:t>
      </w:r>
      <w:r>
        <w:drawing>
          <wp:inline xmlns:a="http://schemas.openxmlformats.org/drawingml/2006/main" xmlns:pic="http://schemas.openxmlformats.org/drawingml/2006/picture">
            <wp:extent cx="910005" cy="146775"/>
            <wp:docPr id="98" name="Picture 98"/>
            <wp:cNvGraphicFramePr>
              <a:graphicFrameLocks noChangeAspect="1"/>
            </wp:cNvGraphicFramePr>
            <a:graphic>
              <a:graphicData uri="http://schemas.openxmlformats.org/drawingml/2006/picture">
                <pic:pic>
                  <pic:nvPicPr>
                    <pic:cNvPr id="0" name="eq-098.png"/>
                    <pic:cNvPicPr/>
                  </pic:nvPicPr>
                  <pic:blipFill>
                    <a:blip r:embed="rId102"/>
                    <a:stretch>
                      <a:fillRect/>
                    </a:stretch>
                  </pic:blipFill>
                  <pic:spPr>
                    <a:xfrm>
                      <a:off x="0" y="0"/>
                      <a:ext cx="910005" cy="146775"/>
                    </a:xfrm>
                    <a:prstGeom prst="rect"/>
                  </pic:spPr>
                </pic:pic>
              </a:graphicData>
            </a:graphic>
          </wp:inline>
        </w:drawing>
      </w:r>
      <w:r>
        <w:rPr>
          <w:b w:val="0"/>
          <w:i w:val="0"/>
        </w:rPr>
        <w:t xml:space="preserve">⁠、柔性需求为 </w:t>
      </w:r>
      <w:r>
        <w:drawing>
          <wp:inline xmlns:a="http://schemas.openxmlformats.org/drawingml/2006/main" xmlns:pic="http://schemas.openxmlformats.org/drawingml/2006/picture">
            <wp:extent cx="1581334" cy="136141"/>
            <wp:docPr id="99" name="Picture 99"/>
            <wp:cNvGraphicFramePr>
              <a:graphicFrameLocks noChangeAspect="1"/>
            </wp:cNvGraphicFramePr>
            <a:graphic>
              <a:graphicData uri="http://schemas.openxmlformats.org/drawingml/2006/picture">
                <pic:pic>
                  <pic:nvPicPr>
                    <pic:cNvPr id="0" name="eq-099.png"/>
                    <pic:cNvPicPr/>
                  </pic:nvPicPr>
                  <pic:blipFill>
                    <a:blip r:embed="rId103"/>
                    <a:stretch>
                      <a:fillRect/>
                    </a:stretch>
                  </pic:blipFill>
                  <pic:spPr>
                    <a:xfrm>
                      <a:off x="0" y="0"/>
                      <a:ext cx="1581334" cy="136141"/>
                    </a:xfrm>
                    <a:prstGeom prst="rect"/>
                  </pic:spPr>
                </pic:pic>
              </a:graphicData>
            </a:graphic>
          </wp:inline>
        </w:drawing>
      </w:r>
      <w:r>
        <w:rPr>
          <w:b w:val="0"/>
          <w:i w:val="0"/>
        </w:rPr>
        <w:t xml:space="preserve">⁠、非风光溢出为 </w:t>
      </w:r>
      <w:r>
        <w:drawing>
          <wp:inline xmlns:a="http://schemas.openxmlformats.org/drawingml/2006/main" xmlns:pic="http://schemas.openxmlformats.org/drawingml/2006/picture">
            <wp:extent cx="1376324" cy="146640"/>
            <wp:docPr id="100" name="Picture 100"/>
            <wp:cNvGraphicFramePr>
              <a:graphicFrameLocks noChangeAspect="1"/>
            </wp:cNvGraphicFramePr>
            <a:graphic>
              <a:graphicData uri="http://schemas.openxmlformats.org/drawingml/2006/picture">
                <pic:pic>
                  <pic:nvPicPr>
                    <pic:cNvPr id="0" name="eq-100.png"/>
                    <pic:cNvPicPr/>
                  </pic:nvPicPr>
                  <pic:blipFill>
                    <a:blip r:embed="rId104"/>
                    <a:stretch>
                      <a:fillRect/>
                    </a:stretch>
                  </pic:blipFill>
                  <pic:spPr>
                    <a:xfrm>
                      <a:off x="0" y="0"/>
                      <a:ext cx="1376324" cy="146640"/>
                    </a:xfrm>
                    <a:prstGeom prst="rect"/>
                  </pic:spPr>
                </pic:pic>
              </a:graphicData>
            </a:graphic>
          </wp:inline>
        </w:drawing>
      </w:r>
      <w:r>
        <w:rPr>
          <w:b w:val="0"/>
          <w:i w:val="0"/>
        </w:rPr>
        <w:t>⁠，则期间残差为</w:t>
      </w:r>
    </w:p>
    <w:p>
      <w:pPr>
        <w:spacing w:after="160"/>
        <w:jc w:val="center"/>
      </w:pPr>
      <w:r>
        <w:drawing>
          <wp:inline xmlns:a="http://schemas.openxmlformats.org/drawingml/2006/main" xmlns:pic="http://schemas.openxmlformats.org/drawingml/2006/picture">
            <wp:extent cx="6107811" cy="621753"/>
            <wp:docPr id="101" name="Picture 101"/>
            <wp:cNvGraphicFramePr>
              <a:graphicFrameLocks noChangeAspect="1"/>
            </wp:cNvGraphicFramePr>
            <a:graphic>
              <a:graphicData uri="http://schemas.openxmlformats.org/drawingml/2006/picture">
                <pic:pic>
                  <pic:nvPicPr>
                    <pic:cNvPr id="0" name="eq-101.png"/>
                    <pic:cNvPicPr/>
                  </pic:nvPicPr>
                  <pic:blipFill>
                    <a:blip r:embed="rId105"/>
                    <a:stretch>
                      <a:fillRect/>
                    </a:stretch>
                  </pic:blipFill>
                  <pic:spPr>
                    <a:xfrm>
                      <a:off x="0" y="0"/>
                      <a:ext cx="6107811" cy="621753"/>
                    </a:xfrm>
                    <a:prstGeom prst="rect"/>
                  </pic:spPr>
                </pic:pic>
              </a:graphicData>
            </a:graphic>
          </wp:inline>
        </w:drawing>
      </w:r>
    </w:p>
    <w:p>
      <w:pPr>
        <w:keepNext/>
      </w:pPr>
      <w:r>
        <w:rPr>
          <w:b w:val="0"/>
          <w:i w:val="0"/>
        </w:rPr>
        <w:t xml:space="preserve">电量账户通过 </w:t>
      </w:r>
      <w:r>
        <w:rPr>
          <w:rFonts w:ascii="DejaVu Sans Mono" w:hAnsi="DejaVu Sans Mono"/>
          <w:b w:val="0"/>
          <w:i w:val="0"/>
          <w:sz w:val="17"/>
        </w:rPr>
        <w:t>compatibility_​adjustment_​mwh</w:t>
      </w:r>
      <w:r>
        <w:rPr>
          <w:b w:val="0"/>
          <w:i w:val="0"/>
        </w:rPr>
        <w:t xml:space="preserve"> 吸收浮点运算的小幅残差，该数值项仅在期间容差以内生效：</w:t>
      </w:r>
    </w:p>
    <w:p>
      <w:pPr>
        <w:spacing w:after="160"/>
        <w:jc w:val="center"/>
      </w:pPr>
      <w:r>
        <w:drawing>
          <wp:inline xmlns:a="http://schemas.openxmlformats.org/drawingml/2006/main" xmlns:pic="http://schemas.openxmlformats.org/drawingml/2006/picture">
            <wp:extent cx="6217920" cy="782702"/>
            <wp:docPr id="102" name="Picture 102"/>
            <wp:cNvGraphicFramePr>
              <a:graphicFrameLocks noChangeAspect="1"/>
            </wp:cNvGraphicFramePr>
            <a:graphic>
              <a:graphicData uri="http://schemas.openxmlformats.org/drawingml/2006/picture">
                <pic:pic>
                  <pic:nvPicPr>
                    <pic:cNvPr id="0" name="eq-102.png"/>
                    <pic:cNvPicPr/>
                  </pic:nvPicPr>
                  <pic:blipFill>
                    <a:blip r:embed="rId106"/>
                    <a:stretch>
                      <a:fillRect/>
                    </a:stretch>
                  </pic:blipFill>
                  <pic:spPr>
                    <a:xfrm>
                      <a:off x="0" y="0"/>
                      <a:ext cx="6217920" cy="782702"/>
                    </a:xfrm>
                    <a:prstGeom prst="rect"/>
                  </pic:spPr>
                </pic:pic>
              </a:graphicData>
            </a:graphic>
          </wp:inline>
        </w:drawing>
      </w:r>
    </w:p>
    <w:p>
      <w:pPr>
        <w:keepNext/>
      </w:pPr>
      <w:r>
        <w:rPr>
          <w:b w:val="0"/>
          <w:i w:val="0"/>
        </w:rPr>
        <w:t>电量账户根据物理残差和调度分支记录的缺电量，计算全部未满足需求：</w:t>
      </w:r>
    </w:p>
    <w:p>
      <w:pPr>
        <w:spacing w:after="160"/>
        <w:jc w:val="center"/>
      </w:pPr>
      <w:r>
        <w:drawing>
          <wp:inline xmlns:a="http://schemas.openxmlformats.org/drawingml/2006/main" xmlns:pic="http://schemas.openxmlformats.org/drawingml/2006/picture">
            <wp:extent cx="5813374" cy="395483"/>
            <wp:docPr id="103" name="Picture 103"/>
            <wp:cNvGraphicFramePr>
              <a:graphicFrameLocks noChangeAspect="1"/>
            </wp:cNvGraphicFramePr>
            <a:graphic>
              <a:graphicData uri="http://schemas.openxmlformats.org/drawingml/2006/picture">
                <pic:pic>
                  <pic:nvPicPr>
                    <pic:cNvPr id="0" name="eq-103.png"/>
                    <pic:cNvPicPr/>
                  </pic:nvPicPr>
                  <pic:blipFill>
                    <a:blip r:embed="rId107"/>
                    <a:stretch>
                      <a:fillRect/>
                    </a:stretch>
                  </pic:blipFill>
                  <pic:spPr>
                    <a:xfrm>
                      <a:off x="0" y="0"/>
                      <a:ext cx="5813374" cy="395483"/>
                    </a:xfrm>
                    <a:prstGeom prst="rect"/>
                  </pic:spPr>
                </pic:pic>
              </a:graphicData>
            </a:graphic>
          </wp:inline>
        </w:drawing>
      </w:r>
    </w:p>
    <w:p>
      <w:r>
        <w:rPr>
          <w:b w:val="0"/>
          <w:i w:val="0"/>
        </w:rPr>
        <w:t xml:space="preserve">仅含未满足需求的时段以 </w:t>
      </w:r>
      <w:r>
        <w:drawing>
          <wp:inline xmlns:a="http://schemas.openxmlformats.org/drawingml/2006/main" xmlns:pic="http://schemas.openxmlformats.org/drawingml/2006/picture">
            <wp:extent cx="1838032" cy="148803"/>
            <wp:docPr id="104" name="Picture 104"/>
            <wp:cNvGraphicFramePr>
              <a:graphicFrameLocks noChangeAspect="1"/>
            </wp:cNvGraphicFramePr>
            <a:graphic>
              <a:graphicData uri="http://schemas.openxmlformats.org/drawingml/2006/picture">
                <pic:pic>
                  <pic:nvPicPr>
                    <pic:cNvPr id="0" name="eq-104.png"/>
                    <pic:cNvPicPr/>
                  </pic:nvPicPr>
                  <pic:blipFill>
                    <a:blip r:embed="rId108"/>
                    <a:stretch>
                      <a:fillRect/>
                    </a:stretch>
                  </pic:blipFill>
                  <pic:spPr>
                    <a:xfrm>
                      <a:off x="0" y="0"/>
                      <a:ext cx="1838032" cy="148803"/>
                    </a:xfrm>
                    <a:prstGeom prst="rect"/>
                  </pic:spPr>
                </pic:pic>
              </a:graphicData>
            </a:graphic>
          </wp:inline>
        </w:drawing>
      </w:r>
      <w:r>
        <w:rPr>
          <w:b w:val="0"/>
          <w:i w:val="0"/>
        </w:rPr>
        <w:t xml:space="preserve"> 闭合。同一年内连续出现缺口的时段构成一次事件。年度输出包含事件数、时段数和未满足 MWh；第 6 章将各缺口分项各扣除一次，得到已服务需求。</w:t>
      </w:r>
    </w:p>
    <w:p>
      <w:r>
        <w:rPr>
          <w:b w:val="0"/>
          <w:i w:val="0"/>
        </w:rPr>
        <w:t>年度输出合计机组与进口 MWh、储能充放电、风光弃电、非风光溢出、出口、柔性需求、期间价格、资产收入和未满足电量。期间状态将实际出力与储能批次传入下一期，年度模型随后执行第 6 章的核算与投资规则。</w:t>
      </w:r>
    </w:p>
    <w:p>
      <w:pPr>
        <w:pStyle w:val="Heading1"/>
      </w:pPr>
      <w:r>
        <w:rPr>
          <w:b w:val="0"/>
          <w:i w:val="0"/>
        </w:rPr>
        <w:t>6 年度核算与投资</w:t>
      </w:r>
    </w:p>
    <w:p>
      <w:r>
        <w:rPr>
          <w:b w:val="0"/>
          <w:i w:val="0"/>
        </w:rPr>
        <w:t>VALUE 每个模型年更新一次在役容量。全年调度给出售电量、运行费用与可再生能源剩余电量，进而确定投资和退役。获准新增的容量进入建设队列，在完工年成为在役资产。年度计算由此连接当期机组、市场收入、建设时长与未来容量。</w:t>
      </w:r>
    </w:p>
    <w:p>
      <w:pPr>
        <w:pStyle w:val="Heading2"/>
      </w:pPr>
      <w:r>
        <w:rPr>
          <w:b w:val="0"/>
          <w:i w:val="0"/>
        </w:rPr>
        <w:t>年度输入与计算顺序</w:t>
      </w:r>
    </w:p>
    <w:p>
      <w:r>
        <w:rPr>
          <w:b w:val="0"/>
          <w:i w:val="0"/>
        </w:rPr>
        <w:t xml:space="preserve">年度输入 </w:t>
      </w:r>
      <w:r>
        <w:rPr>
          <w:rFonts w:ascii="DejaVu Sans Mono" w:hAnsi="DejaVu Sans Mono"/>
          <w:b w:val="0"/>
          <w:i w:val="0"/>
          <w:sz w:val="17"/>
        </w:rPr>
        <w:t>YearState</w:t>
      </w:r>
      <w:r>
        <w:rPr>
          <w:b w:val="0"/>
          <w:i w:val="0"/>
        </w:rPr>
        <w:t xml:space="preserve"> 包含年份、在役资产、规划项目和储能成本观察值。各资产带有以 MW 表示的 </w:t>
      </w:r>
      <w:r>
        <w:rPr>
          <w:rFonts w:ascii="DejaVu Sans Mono" w:hAnsi="DejaVu Sans Mono"/>
          <w:b w:val="0"/>
          <w:i w:val="0"/>
          <w:sz w:val="17"/>
        </w:rPr>
        <w:t>capacity_mw</w:t>
      </w:r>
      <w:r>
        <w:rPr>
          <w:b w:val="0"/>
          <w:i w:val="0"/>
        </w:rPr>
        <w:t xml:space="preserve">，储能还带有以 MWh 表示的 </w:t>
      </w:r>
      <w:r>
        <w:rPr>
          <w:rFonts w:ascii="DejaVu Sans Mono" w:hAnsi="DejaVu Sans Mono"/>
          <w:b w:val="0"/>
          <w:i w:val="0"/>
          <w:sz w:val="17"/>
        </w:rPr>
        <w:t>energy_capacity_mwh</w:t>
      </w:r>
      <w:r>
        <w:rPr>
          <w:b w:val="0"/>
          <w:i w:val="0"/>
        </w:rPr>
        <w:t xml:space="preserve">，并记录技术、地区及投资主体。经济字段包括总资本 </w:t>
      </w:r>
      <w:r>
        <w:rPr>
          <w:rFonts w:ascii="DejaVu Sans Mono" w:hAnsi="DejaVu Sans Mono"/>
          <w:b w:val="0"/>
          <w:i w:val="0"/>
          <w:sz w:val="17"/>
        </w:rPr>
        <w:t>total_capex_gbp</w:t>
      </w:r>
      <w:r>
        <w:rPr>
          <w:b w:val="0"/>
          <w:i w:val="0"/>
        </w:rPr>
        <w:t xml:space="preserve">、年度固定费用 </w:t>
      </w:r>
      <w:r>
        <w:rPr>
          <w:rFonts w:ascii="DejaVu Sans Mono" w:hAnsi="DejaVu Sans Mono"/>
          <w:b w:val="0"/>
          <w:i w:val="0"/>
          <w:sz w:val="17"/>
        </w:rPr>
        <w:t>annual_fixed_opex_gbp</w:t>
      </w:r>
      <w:r>
        <w:rPr>
          <w:b w:val="0"/>
          <w:i w:val="0"/>
        </w:rPr>
        <w:t xml:space="preserve">、年化资本 </w:t>
      </w:r>
      <w:r>
        <w:rPr>
          <w:rFonts w:ascii="DejaVu Sans Mono" w:hAnsi="DejaVu Sans Mono"/>
          <w:b w:val="0"/>
          <w:i w:val="0"/>
          <w:sz w:val="17"/>
        </w:rPr>
        <w:t>annualized_​capital_​cost_​gbp</w:t>
      </w:r>
      <w:r>
        <w:rPr>
          <w:b w:val="0"/>
          <w:i w:val="0"/>
        </w:rPr>
        <w:t xml:space="preserve">、寿命 </w:t>
      </w:r>
      <w:r>
        <w:rPr>
          <w:rFonts w:ascii="DejaVu Sans Mono" w:hAnsi="DejaVu Sans Mono"/>
          <w:b w:val="0"/>
          <w:i w:val="0"/>
          <w:sz w:val="17"/>
        </w:rPr>
        <w:t>economic_lifetime_years</w:t>
      </w:r>
      <w:r>
        <w:rPr>
          <w:b w:val="0"/>
          <w:i w:val="0"/>
        </w:rPr>
        <w:t xml:space="preserve">、要求的年度收益率 </w:t>
      </w:r>
      <w:r>
        <w:rPr>
          <w:rFonts w:ascii="DejaVu Sans Mono" w:hAnsi="DejaVu Sans Mono"/>
          <w:b w:val="0"/>
          <w:i w:val="0"/>
          <w:sz w:val="17"/>
        </w:rPr>
        <w:t>preferred_rate</w:t>
      </w:r>
      <w:r>
        <w:rPr>
          <w:b w:val="0"/>
          <w:i w:val="0"/>
        </w:rPr>
        <w:t xml:space="preserve"> 和目标回收期 </w:t>
      </w:r>
      <w:r>
        <w:rPr>
          <w:rFonts w:ascii="DejaVu Sans Mono" w:hAnsi="DejaVu Sans Mono"/>
          <w:b w:val="0"/>
          <w:i w:val="0"/>
          <w:sz w:val="17"/>
        </w:rPr>
        <w:t>target_payback_years</w:t>
      </w:r>
      <w:r>
        <w:rPr>
          <w:b w:val="0"/>
          <w:i w:val="0"/>
        </w:rPr>
        <w:t>。第 2 章给出初始机组、项目清单与输入值。</w:t>
      </w:r>
    </w:p>
    <w:p>
      <w:r>
        <w:rPr>
          <w:b w:val="0"/>
          <w:i w:val="0"/>
        </w:rPr>
        <w:t>项目在当年调度开始前投运。</w:t>
      </w:r>
      <w:r>
        <w:rPr>
          <w:rFonts w:ascii="DejaVu Sans Mono" w:hAnsi="DejaVu Sans Mono"/>
          <w:b w:val="0"/>
          <w:i w:val="0"/>
          <w:sz w:val="17"/>
        </w:rPr>
        <w:t>SchemeCPlanningPipelineDefinition.advance_​year</w:t>
      </w:r>
      <w:r>
        <w:rPr>
          <w:b w:val="0"/>
          <w:i w:val="0"/>
        </w:rPr>
        <w:t xml:space="preserve"> 将成功且满足 </w:t>
      </w:r>
      <w:r>
        <w:rPr>
          <w:rFonts w:ascii="DejaVu Sans Mono" w:hAnsi="DejaVu Sans Mono"/>
          <w:b w:val="0"/>
          <w:i w:val="0"/>
          <w:sz w:val="17"/>
        </w:rPr>
        <w:t>expected_​completion_​year≤state.year</w:t>
      </w:r>
      <w:r>
        <w:rPr>
          <w:b w:val="0"/>
          <w:i w:val="0"/>
        </w:rPr>
        <w:t xml:space="preserve"> 的项目容量及经济字段加入在役机组，并从当前建设队列移除。后续完工的项目保留在队列中。水电项目在站点与水文输入齐备后投运，失败项目对在役容量的贡献为零。</w:t>
      </w:r>
    </w:p>
    <w:p>
      <w:r>
        <w:rPr>
          <w:b w:val="0"/>
          <w:i w:val="0"/>
        </w:rPr>
        <w:t xml:space="preserve">调度产生年度 </w:t>
      </w:r>
      <w:r>
        <w:rPr>
          <w:rFonts w:ascii="DejaVu Sans Mono" w:hAnsi="DejaVu Sans Mono"/>
          <w:b w:val="0"/>
          <w:i w:val="0"/>
          <w:sz w:val="17"/>
        </w:rPr>
        <w:t>MarketYearResult</w:t>
      </w:r>
      <w:r>
        <w:rPr>
          <w:b w:val="0"/>
          <w:i w:val="0"/>
        </w:rPr>
        <w:t xml:space="preserve">，记为 </w:t>
      </w:r>
      <w:r>
        <w:rPr>
          <w:rFonts w:ascii="DejaVu Sans Mono" w:hAnsi="DejaVu Sans Mono"/>
          <w:b w:val="0"/>
          <w:i w:val="0"/>
          <w:sz w:val="17"/>
        </w:rPr>
        <w:t>market</w:t>
      </w:r>
      <w:r>
        <w:rPr>
          <w:b w:val="0"/>
          <w:i w:val="0"/>
        </w:rPr>
        <w:t>。逐期汇总包括实际需求、已接纳风光发电、储能充放电、停电电量和价格，资产账户包括发电 MWh 与市场收入。随后按下列顺序计算技术扩容上限、投资量、规划准入与下一年状态：</w:t>
      </w:r>
    </w:p>
    <w:p>
      <w:pPr>
        <w:keepLines/>
        <w:spacing w:line="276" w:lineRule="auto" w:after="160"/>
      </w:pPr>
      <w:r>
        <w:rPr>
          <w:rFonts w:ascii="DejaVu Sans Mono" w:hAnsi="DejaVu Sans Mono"/>
          <w:b w:val="0"/>
          <w:i w:val="0"/>
          <w:sz w:val="17"/>
        </w:rPr>
        <w:t>advanced = planning.advance_​year(run, state)</w:t>
        <w:br/>
        <w:t>model_input = psm_input_factory(run, advanced.operating_​state)</w:t>
        <w:br/>
        <w:t>market = psm.run(model_input)</w:t>
        <w:br/>
        <w:t>headroom = []</w:t>
        <w:br/>
        <w:t>for slot in sorted(expansion_​policies):</w:t>
        <w:br/>
        <w:t xml:space="preserve">    policy = expansion_​policies[slot]</w:t>
        <w:br/>
        <w:t xml:space="preserve">    headroom.append(policy.evaluate(run, advanced.operating_​state, market))</w:t>
        <w:br/>
        <w:t>investment_market = adapt_​market_​for_​investment(</w:t>
        <w:br/>
        <w:t xml:space="preserve">    market, advanced.operating_​state)</w:t>
        <w:br/>
        <w:t>decision = investment.decide(</w:t>
        <w:br/>
        <w:t xml:space="preserve">    run, advanced.operating_​state, investment_market, tuple(headroom))</w:t>
        <w:br/>
        <w:t>decision = inherit_​frozen_​zone_​shares(decision, advanced.operating_​state)</w:t>
        <w:br/>
        <w:t>admission = planning.admit_​projects(</w:t>
        <w:br/>
        <w:t xml:space="preserve">    run, advanced.operating_​state, decision.proposals)</w:t>
        <w:br/>
      </w:r>
    </w:p>
    <w:p>
      <w:r>
        <w:rPr>
          <w:b w:val="0"/>
          <w:i w:val="0"/>
        </w:rPr>
        <w:t xml:space="preserve">其中 </w:t>
      </w:r>
      <w:r>
        <w:rPr>
          <w:rFonts w:ascii="DejaVu Sans Mono" w:hAnsi="DejaVu Sans Mono"/>
          <w:b w:val="0"/>
          <w:i w:val="0"/>
          <w:sz w:val="17"/>
        </w:rPr>
        <w:t>advanced.operating_​state</w:t>
      </w:r>
      <w:r>
        <w:rPr>
          <w:b w:val="0"/>
          <w:i w:val="0"/>
        </w:rPr>
        <w:t xml:space="preserve"> 为当年可用机组，</w:t>
      </w:r>
      <w:r>
        <w:rPr>
          <w:rFonts w:ascii="DejaVu Sans Mono" w:hAnsi="DejaVu Sans Mono"/>
          <w:b w:val="0"/>
          <w:i w:val="0"/>
          <w:sz w:val="17"/>
        </w:rPr>
        <w:t>headroom</w:t>
      </w:r>
      <w:r>
        <w:rPr>
          <w:b w:val="0"/>
          <w:i w:val="0"/>
        </w:rPr>
        <w:t xml:space="preserve"> 为各技术允许增加的 MW，</w:t>
      </w:r>
      <w:r>
        <w:rPr>
          <w:rFonts w:ascii="DejaVu Sans Mono" w:hAnsi="DejaVu Sans Mono"/>
          <w:b w:val="0"/>
          <w:i w:val="0"/>
          <w:sz w:val="17"/>
        </w:rPr>
        <w:t>decision</w:t>
      </w:r>
      <w:r>
        <w:rPr>
          <w:b w:val="0"/>
          <w:i w:val="0"/>
        </w:rPr>
        <w:t xml:space="preserve"> 包含新增提案与资产退役量，</w:t>
      </w:r>
      <w:r>
        <w:rPr>
          <w:rFonts w:ascii="DejaVu Sans Mono" w:hAnsi="DejaVu Sans Mono"/>
          <w:b w:val="0"/>
          <w:i w:val="0"/>
          <w:sz w:val="17"/>
        </w:rPr>
        <w:t>admission.next_pipeline</w:t>
      </w:r>
      <w:r>
        <w:rPr>
          <w:b w:val="0"/>
          <w:i w:val="0"/>
        </w:rPr>
        <w:t xml:space="preserve"> 包含继续建设及新获准的项目。输入工厂按第 2—3 章处理更新后的机组，第 4—5、7—8 章定义所选调度计算。最终状态更新见本章末节。</w:t>
      </w:r>
    </w:p>
    <w:p>
      <w:pPr>
        <w:pStyle w:val="Heading2"/>
      </w:pPr>
      <w:r>
        <w:rPr>
          <w:b w:val="0"/>
          <w:i w:val="0"/>
        </w:rPr>
        <w:t>资产资本与年度系统成本</w:t>
      </w:r>
    </w:p>
    <w:p>
      <w:r>
        <w:rPr>
          <w:b w:val="0"/>
          <w:i w:val="0"/>
        </w:rPr>
        <w:t>资产资本按经济寿命通过资本回收因子年化。</w:t>
      </w:r>
      <w:r>
        <w:rPr>
          <w:rFonts w:ascii="DejaVu Sans Mono" w:hAnsi="DejaVu Sans Mono"/>
          <w:b w:val="0"/>
          <w:i w:val="0"/>
          <w:sz w:val="17"/>
        </w:rPr>
        <w:t>build_​asset_​economic_​extensions</w:t>
      </w:r>
      <w:r>
        <w:rPr>
          <w:b w:val="0"/>
          <w:i w:val="0"/>
        </w:rPr>
        <w:t xml:space="preserve"> 读取以 GBP 表示的 </w:t>
      </w:r>
      <w:r>
        <w:rPr>
          <w:rFonts w:ascii="DejaVu Sans Mono" w:hAnsi="DejaVu Sans Mono"/>
          <w:b w:val="0"/>
          <w:i w:val="0"/>
          <w:sz w:val="17"/>
        </w:rPr>
        <w:t>total_capex</w:t>
      </w:r>
      <w:r>
        <w:rPr>
          <w:b w:val="0"/>
          <w:i w:val="0"/>
        </w:rPr>
        <w:t xml:space="preserve">、以年表示的 </w:t>
      </w:r>
      <w:r>
        <w:rPr>
          <w:rFonts w:ascii="DejaVu Sans Mono" w:hAnsi="DejaVu Sans Mono"/>
          <w:b w:val="0"/>
          <w:i w:val="0"/>
          <w:sz w:val="17"/>
        </w:rPr>
        <w:t>life</w:t>
      </w:r>
      <w:r>
        <w:rPr>
          <w:b w:val="0"/>
          <w:i w:val="0"/>
        </w:rPr>
        <w:t xml:space="preserve"> 及 </w:t>
      </w:r>
      <w:r>
        <w:rPr>
          <w:rFonts w:ascii="DejaVu Sans Mono" w:hAnsi="DejaVu Sans Mono"/>
          <w:b w:val="0"/>
          <w:i w:val="0"/>
          <w:sz w:val="17"/>
        </w:rPr>
        <w:t>discount_rate</w:t>
      </w:r>
      <w:r>
        <w:rPr>
          <w:b w:val="0"/>
          <w:i w:val="0"/>
        </w:rPr>
        <w:t xml:space="preserve">，并令 </w:t>
      </w:r>
      <w:r>
        <w:rPr>
          <w:rFonts w:ascii="DejaVu Sans Mono" w:hAnsi="DejaVu Sans Mono"/>
          <w:b w:val="0"/>
          <w:i w:val="0"/>
          <w:sz w:val="17"/>
        </w:rPr>
        <w:t>annualized_​capital_​cost_​gbp=total_​capex×crf</w:t>
      </w:r>
      <w:r>
        <w:rPr>
          <w:b w:val="0"/>
          <w:i w:val="0"/>
        </w:rPr>
        <w:t>。</w:t>
      </w:r>
      <w:r>
        <w:rPr>
          <w:rFonts w:ascii="DejaVu Sans Mono" w:hAnsi="DejaVu Sans Mono"/>
          <w:b w:val="0"/>
          <w:i w:val="0"/>
          <w:sz w:val="17"/>
        </w:rPr>
        <w:t>crf=capital_​recovery_​factor(discount_​rate,life)</w:t>
      </w:r>
      <w:r>
        <w:rPr>
          <w:b w:val="0"/>
          <w:i w:val="0"/>
        </w:rPr>
        <w:t xml:space="preserve"> 使用第 4 章公式，默认利率为 0.05。发电资本为容量乘以 GBP/MW 单位造价，储能资本与固定维护费按第 2 章技术目录声明的功率或能量计价基础计算。</w:t>
      </w:r>
    </w:p>
    <w:p>
      <w:r>
        <w:rPr>
          <w:b w:val="0"/>
          <w:i w:val="0"/>
        </w:rPr>
        <w:t xml:space="preserve">年度系统成本汇总在役资产的资源费用。调度结果中的 </w:t>
      </w:r>
      <w:r>
        <w:rPr>
          <w:rFonts w:ascii="DejaVu Sans Mono" w:hAnsi="DejaVu Sans Mono"/>
          <w:b w:val="0"/>
          <w:i w:val="0"/>
          <w:sz w:val="17"/>
        </w:rPr>
        <w:t>total_​levelized_​capital_​cost_​gbp</w:t>
      </w:r>
      <w:r>
        <w:rPr>
          <w:b w:val="0"/>
          <w:i w:val="0"/>
        </w:rPr>
        <w:t xml:space="preserve"> 包含年化资本与固定维护费，</w:t>
      </w:r>
      <w:r>
        <w:rPr>
          <w:rFonts w:ascii="DejaVu Sans Mono" w:hAnsi="DejaVu Sans Mono"/>
          <w:b w:val="0"/>
          <w:i w:val="0"/>
          <w:sz w:val="17"/>
        </w:rPr>
        <w:t>total_​operational_​cost_​gbp</w:t>
      </w:r>
      <w:r>
        <w:rPr>
          <w:b w:val="0"/>
          <w:i w:val="0"/>
        </w:rPr>
        <w:t xml:space="preserve"> 包含实际运行支出。Native 的实际运行支出由第 5 章发电与进口费用、停电电量乘以 </w:t>
      </w:r>
      <w:r>
        <w:rPr>
          <w:rFonts w:ascii="DejaVu Sans Mono" w:hAnsi="DejaVu Sans Mono"/>
          <w:b w:val="0"/>
          <w:i w:val="0"/>
          <w:sz w:val="17"/>
        </w:rPr>
        <w:t>market.voll_gbp_per_mwh</w:t>
      </w:r>
      <w:r>
        <w:rPr>
          <w:b w:val="0"/>
          <w:i w:val="0"/>
        </w:rPr>
        <w:t>（默认 17,000 GBP/​MWh），以及储能循环折旧组成。用于下调排序的重启费用进入相应报价计算。选择网络扩建时，网络资产的资本与固定维护费进入年度资源账户。</w:t>
      </w:r>
    </w:p>
    <w:p>
      <w:r>
        <w:rPr>
          <w:b w:val="0"/>
          <w:i w:val="0"/>
        </w:rPr>
        <w:t xml:space="preserve">系统成本将风电、光伏和储能的固定维护费视为已包含在其平准化资本中，单独记录的维护费保留为备忘项。已有径流式水电的 </w:t>
      </w:r>
      <w:r>
        <w:rPr>
          <w:rFonts w:ascii="DejaVu Sans Mono" w:hAnsi="DejaVu Sans Mono"/>
          <w:b w:val="0"/>
          <w:i w:val="0"/>
          <w:sz w:val="17"/>
        </w:rPr>
        <w:t>existing_​stock_​compatibility_​capital_​gbp</w:t>
      </w:r>
      <w:r>
        <w:rPr>
          <w:b w:val="0"/>
          <w:i w:val="0"/>
        </w:rPr>
        <w:t xml:space="preserve"> 也列为备忘项。火电固定维护费与已投运网络的资源费用进入成本总额。</w:t>
      </w:r>
    </w:p>
    <w:p>
      <w:r>
        <w:rPr>
          <w:rFonts w:ascii="DejaVu Sans Mono" w:hAnsi="DejaVu Sans Mono"/>
          <w:b w:val="0"/>
          <w:i w:val="0"/>
          <w:sz w:val="17"/>
        </w:rPr>
        <w:t>build_cem_cost_ledger</w:t>
      </w:r>
      <w:r>
        <w:rPr>
          <w:b w:val="0"/>
          <w:i w:val="0"/>
        </w:rPr>
        <w:t xml:space="preserve"> 将输入资本总额读为 </w:t>
      </w:r>
      <w:r>
        <w:rPr>
          <w:rFonts w:ascii="DejaVu Sans Mono" w:hAnsi="DejaVu Sans Mono"/>
          <w:b w:val="0"/>
          <w:i w:val="0"/>
          <w:sz w:val="17"/>
        </w:rPr>
        <w:t>capital</w:t>
      </w:r>
      <w:r>
        <w:rPr>
          <w:b w:val="0"/>
          <w:i w:val="0"/>
        </w:rPr>
        <w:t xml:space="preserve">，并用 </w:t>
      </w:r>
      <w:r>
        <w:rPr>
          <w:rFonts w:ascii="DejaVu Sans Mono" w:hAnsi="DejaVu Sans Mono"/>
          <w:b w:val="0"/>
          <w:i w:val="0"/>
          <w:sz w:val="17"/>
        </w:rPr>
        <w:t>excluded</w:t>
      </w:r>
      <w:r>
        <w:rPr>
          <w:b w:val="0"/>
          <w:i w:val="0"/>
        </w:rPr>
        <w:t xml:space="preserve"> 扣除上述两类备忘项。</w:t>
      </w:r>
      <w:r>
        <w:rPr>
          <w:rFonts w:ascii="DejaVu Sans Mono" w:hAnsi="DejaVu Sans Mono"/>
          <w:b w:val="0"/>
          <w:i w:val="0"/>
          <w:sz w:val="17"/>
        </w:rPr>
        <w:t>network_capex</w:t>
      </w:r>
      <w:r>
        <w:rPr>
          <w:b w:val="0"/>
          <w:i w:val="0"/>
        </w:rPr>
        <w:t xml:space="preserve"> 与 </w:t>
      </w:r>
      <w:r>
        <w:rPr>
          <w:rFonts w:ascii="DejaVu Sans Mono" w:hAnsi="DejaVu Sans Mono"/>
          <w:b w:val="0"/>
          <w:i w:val="0"/>
          <w:sz w:val="17"/>
        </w:rPr>
        <w:t>network_fom</w:t>
      </w:r>
      <w:r>
        <w:rPr>
          <w:b w:val="0"/>
          <w:i w:val="0"/>
        </w:rPr>
        <w:t xml:space="preserve"> 分别为年度网络资本与维护费，</w:t>
      </w:r>
      <w:r>
        <w:rPr>
          <w:rFonts w:ascii="DejaVu Sans Mono" w:hAnsi="DejaVu Sans Mono"/>
          <w:b w:val="0"/>
          <w:i w:val="0"/>
          <w:sz w:val="17"/>
        </w:rPr>
        <w:t>operating_sum</w:t>
      </w:r>
      <w:r>
        <w:rPr>
          <w:b w:val="0"/>
          <w:i w:val="0"/>
        </w:rPr>
        <w:t xml:space="preserve"> 汇总各项实际运行费用。以下成本单位均为 GBP/模型年，</w:t>
      </w:r>
      <w:r>
        <w:rPr>
          <w:rFonts w:ascii="DejaVu Sans Mono" w:hAnsi="DejaVu Sans Mono"/>
          <w:b w:val="0"/>
          <w:i w:val="0"/>
          <w:sz w:val="17"/>
        </w:rPr>
        <w:t>demand</w:t>
      </w:r>
      <w:r>
        <w:rPr>
          <w:b w:val="0"/>
          <w:i w:val="0"/>
        </w:rPr>
        <w:t>、</w:t>
      </w:r>
      <w:r>
        <w:rPr>
          <w:rFonts w:ascii="DejaVu Sans Mono" w:hAnsi="DejaVu Sans Mono"/>
          <w:b w:val="0"/>
          <w:i w:val="0"/>
          <w:sz w:val="17"/>
        </w:rPr>
        <w:t>blackout</w:t>
      </w:r>
      <w:r>
        <w:rPr>
          <w:b w:val="0"/>
          <w:i w:val="0"/>
        </w:rPr>
        <w:t xml:space="preserve"> 与 </w:t>
      </w:r>
      <w:r>
        <w:rPr>
          <w:rFonts w:ascii="DejaVu Sans Mono" w:hAnsi="DejaVu Sans Mono"/>
          <w:b w:val="0"/>
          <w:i w:val="0"/>
          <w:sz w:val="17"/>
        </w:rPr>
        <w:t>served</w:t>
      </w:r>
      <w:r>
        <w:rPr>
          <w:b w:val="0"/>
          <w:i w:val="0"/>
        </w:rPr>
        <w:t xml:space="preserve"> 为年度 MWh：</w:t>
      </w:r>
    </w:p>
    <w:p>
      <w:pPr>
        <w:keepLines/>
        <w:spacing w:line="276" w:lineRule="auto" w:after="160"/>
      </w:pPr>
      <w:r>
        <w:rPr>
          <w:rFonts w:ascii="DejaVu Sans Mono" w:hAnsi="DejaVu Sans Mono"/>
          <w:b w:val="0"/>
          <w:i w:val="0"/>
          <w:sz w:val="17"/>
        </w:rPr>
        <w:t>network_resource_cost = network_capex + network_fom</w:t>
        <w:br/>
        <w:t>non_network_capital = max(capital - network_resource_cost, 0)</w:t>
        <w:br/>
        <w:t>excluded = vre_storage_fom + compatibility</w:t>
        <w:br/>
        <w:t>headline_fleet_capital = max(non_network_capital - excluded, 0)</w:t>
        <w:br/>
        <w:t>headline_capital = capital - (non_network_capital - headline_fleet_capital)</w:t>
        <w:br/>
        <w:t>system_cost = headline_capital + operating_sum</w:t>
        <w:br/>
        <w:t>served = max(demand - blackout - a2_​hidden_​unserved_​mwh(market), 0)</w:t>
        <w:br/>
      </w:r>
    </w:p>
    <w:p>
      <w:r>
        <w:rPr>
          <w:rFonts w:ascii="DejaVu Sans Mono" w:hAnsi="DejaVu Sans Mono"/>
          <w:b w:val="0"/>
          <w:i w:val="0"/>
          <w:sz w:val="17"/>
        </w:rPr>
        <w:t>vre_storage_fom</w:t>
      </w:r>
      <w:r>
        <w:rPr>
          <w:b w:val="0"/>
          <w:i w:val="0"/>
        </w:rPr>
        <w:t xml:space="preserve"> 与 </w:t>
      </w:r>
      <w:r>
        <w:rPr>
          <w:rFonts w:ascii="DejaVu Sans Mono" w:hAnsi="DejaVu Sans Mono"/>
          <w:b w:val="0"/>
          <w:i w:val="0"/>
          <w:sz w:val="17"/>
        </w:rPr>
        <w:t>compatibility</w:t>
      </w:r>
      <w:r>
        <w:rPr>
          <w:b w:val="0"/>
          <w:i w:val="0"/>
        </w:rPr>
        <w:t xml:space="preserve"> 分别保存风光储固定维护费及已有径流式水电资本的备忘金额。</w:t>
      </w:r>
      <w:r>
        <w:rPr>
          <w:rFonts w:ascii="DejaVu Sans Mono" w:hAnsi="DejaVu Sans Mono"/>
          <w:b w:val="0"/>
          <w:i w:val="0"/>
          <w:sz w:val="17"/>
        </w:rPr>
        <w:t>a2_hidden_unserved_mwh</w:t>
      </w:r>
      <w:r>
        <w:rPr>
          <w:b w:val="0"/>
          <w:i w:val="0"/>
        </w:rPr>
        <w:t xml:space="preserve"> 从年度能量平衡账户读取额外未供电量；该账户记录的额外缺口为零时，函数返回零。输出为 </w:t>
      </w:r>
      <w:r>
        <w:rPr>
          <w:rFonts w:ascii="DejaVu Sans Mono" w:hAnsi="DejaVu Sans Mono"/>
          <w:b w:val="0"/>
          <w:i w:val="0"/>
          <w:sz w:val="17"/>
        </w:rPr>
        <w:t>cem_​system_​cost_​gbp=system_​cost</w:t>
      </w:r>
      <w:r>
        <w:rPr>
          <w:b w:val="0"/>
          <w:i w:val="0"/>
        </w:rPr>
        <w:t>，已供需求为正时，</w:t>
      </w:r>
      <w:r>
        <w:rPr>
          <w:rFonts w:ascii="DejaVu Sans Mono" w:hAnsi="DejaVu Sans Mono"/>
          <w:b w:val="0"/>
          <w:i w:val="0"/>
          <w:sz w:val="17"/>
        </w:rPr>
        <w:t>cem_​system_​cost_​gbp_​per_​mwh_​served=system_​cost/​served</w:t>
      </w:r>
      <w:r>
        <w:rPr>
          <w:b w:val="0"/>
          <w:i w:val="0"/>
        </w:rPr>
        <w:t>；已供需求为零时，每 MWh 成本留空。市场支付、政策转移、建设承诺支出与剩余价值分别记账，运行资源费用按上述实际支出汇总。</w:t>
      </w:r>
    </w:p>
    <w:p>
      <w:pPr>
        <w:pStyle w:val="Heading2"/>
      </w:pPr>
      <w:r>
        <w:rPr>
          <w:b w:val="0"/>
          <w:i w:val="0"/>
        </w:rPr>
        <w:t>年度收入与投资分组</w:t>
      </w:r>
    </w:p>
    <w:p>
      <w:r>
        <w:rPr>
          <w:b w:val="0"/>
          <w:i w:val="0"/>
        </w:rPr>
        <w:t xml:space="preserve">投资分组汇集同一主体、技术和地区下具有正容量的资产。主体名称依次取 </w:t>
      </w:r>
      <w:r>
        <w:rPr>
          <w:rFonts w:ascii="DejaVu Sans Mono" w:hAnsi="DejaVu Sans Mono"/>
          <w:b w:val="0"/>
          <w:i w:val="0"/>
          <w:sz w:val="17"/>
        </w:rPr>
        <w:t>investment_owner_id</w:t>
      </w:r>
      <w:r>
        <w:rPr>
          <w:b w:val="0"/>
          <w:i w:val="0"/>
        </w:rPr>
        <w:t>、</w:t>
      </w:r>
      <w:r>
        <w:rPr>
          <w:rFonts w:ascii="DejaVu Sans Mono" w:hAnsi="DejaVu Sans Mono"/>
          <w:b w:val="0"/>
          <w:i w:val="0"/>
          <w:sz w:val="17"/>
        </w:rPr>
        <w:t>source_agent_id</w:t>
      </w:r>
      <w:r>
        <w:rPr>
          <w:b w:val="0"/>
          <w:i w:val="0"/>
        </w:rPr>
        <w:t xml:space="preserve"> 和现有资产标识。标记为 </w:t>
      </w:r>
      <w:r>
        <w:rPr>
          <w:rFonts w:ascii="DejaVu Sans Mono" w:hAnsi="DejaVu Sans Mono"/>
          <w:b w:val="0"/>
          <w:i w:val="0"/>
          <w:sz w:val="17"/>
        </w:rPr>
        <w:t>investment_​eligible=False</w:t>
      </w:r>
      <w:r>
        <w:rPr>
          <w:b w:val="0"/>
          <w:i w:val="0"/>
        </w:rPr>
        <w:t xml:space="preserve"> 的资产继续参加调度，其内生投资为零。</w:t>
      </w:r>
      <w:r>
        <w:rPr>
          <w:rFonts w:ascii="DejaVu Sans Mono" w:hAnsi="DejaVu Sans Mono"/>
          <w:b w:val="0"/>
          <w:i w:val="0"/>
          <w:sz w:val="17"/>
        </w:rPr>
        <w:t>SchemeCAgentInvestmentDefinition.decide</w:t>
      </w:r>
      <w:r>
        <w:rPr>
          <w:b w:val="0"/>
          <w:i w:val="0"/>
        </w:rPr>
        <w:t xml:space="preserve"> 按排序后的 </w:t>
      </w:r>
      <w:r>
        <w:rPr>
          <w:rFonts w:ascii="DejaVu Sans Mono" w:hAnsi="DejaVu Sans Mono"/>
          <w:b w:val="0"/>
          <w:i w:val="0"/>
          <w:sz w:val="17"/>
        </w:rPr>
        <w:t>(owner,technology,region)</w:t>
      </w:r>
      <w:r>
        <w:rPr>
          <w:b w:val="0"/>
          <w:i w:val="0"/>
        </w:rPr>
        <w:t xml:space="preserve"> 顺序处理各组。</w:t>
      </w:r>
    </w:p>
    <w:p>
      <w:r>
        <w:rPr>
          <w:b w:val="0"/>
          <w:i w:val="0"/>
        </w:rPr>
        <w:t xml:space="preserve">投资计算采用归属于各资产的年度市场收入。Native 按第 5 章将市场代理收入分配给对应资产。主体层面结算由 </w:t>
      </w:r>
      <w:r>
        <w:rPr>
          <w:rFonts w:ascii="DejaVu Sans Mono" w:hAnsi="DejaVu Sans Mono"/>
          <w:b w:val="0"/>
          <w:i w:val="0"/>
          <w:sz w:val="17"/>
        </w:rPr>
        <w:t>adapt_​market_​for_​investment</w:t>
      </w:r>
      <w:r>
        <w:rPr>
          <w:b w:val="0"/>
          <w:i w:val="0"/>
        </w:rPr>
        <w:t xml:space="preserve"> 按在役 MW 分配：</w:t>
      </w:r>
      <w:r>
        <w:rPr>
          <w:rFonts w:ascii="DejaVu Sans Mono" w:hAnsi="DejaVu Sans Mono"/>
          <w:b w:val="0"/>
          <w:i w:val="0"/>
          <w:sz w:val="17"/>
        </w:rPr>
        <w:t>allocated[asset.asset_​id]=income×asset.capacity_​mw/​capacity</w:t>
      </w:r>
      <w:r>
        <w:rPr>
          <w:b w:val="0"/>
          <w:i w:val="0"/>
        </w:rPr>
        <w:t xml:space="preserve">，其中 </w:t>
      </w:r>
      <w:r>
        <w:rPr>
          <w:rFonts w:ascii="DejaVu Sans Mono" w:hAnsi="DejaVu Sans Mono"/>
          <w:b w:val="0"/>
          <w:i w:val="0"/>
          <w:sz w:val="17"/>
        </w:rPr>
        <w:t>capacity</w:t>
      </w:r>
      <w:r>
        <w:rPr>
          <w:b w:val="0"/>
          <w:i w:val="0"/>
        </w:rPr>
        <w:t xml:space="preserve"> 是该主体的总 MW。直接提供的资产账户按其记录进入投资计算。</w:t>
      </w:r>
    </w:p>
    <w:p>
      <w:r>
        <w:rPr>
          <w:b w:val="0"/>
          <w:i w:val="0"/>
        </w:rPr>
        <w:t xml:space="preserve">火电投资收入扣除发电量乘以发电、燃料、碳及单位时间费用。资产的 </w:t>
      </w:r>
      <w:r>
        <w:rPr>
          <w:rFonts w:ascii="DejaVu Sans Mono" w:hAnsi="DejaVu Sans Mono"/>
          <w:b w:val="0"/>
          <w:i w:val="0"/>
          <w:sz w:val="17"/>
        </w:rPr>
        <w:t>agent_cashflow</w:t>
      </w:r>
      <w:r>
        <w:rPr>
          <w:b w:val="0"/>
          <w:i w:val="0"/>
        </w:rPr>
        <w:t xml:space="preserve"> 行提供 </w:t>
      </w:r>
      <w:r>
        <w:rPr>
          <w:rFonts w:ascii="DejaVu Sans Mono" w:hAnsi="DejaVu Sans Mono"/>
          <w:b w:val="0"/>
          <w:i w:val="0"/>
          <w:sz w:val="17"/>
        </w:rPr>
        <w:t>generated_mwh</w:t>
      </w:r>
      <w:r>
        <w:rPr>
          <w:b w:val="0"/>
          <w:i w:val="0"/>
        </w:rPr>
        <w:t xml:space="preserve"> 及四项 GBP/MWh 费用，乘积形成 </w:t>
      </w:r>
      <w:r>
        <w:rPr>
          <w:rFonts w:ascii="DejaVu Sans Mono" w:hAnsi="DejaVu Sans Mono"/>
          <w:b w:val="0"/>
          <w:i w:val="0"/>
          <w:sz w:val="17"/>
        </w:rPr>
        <w:t>operating_cost_gbp</w:t>
      </w:r>
      <w:r>
        <w:rPr>
          <w:b w:val="0"/>
          <w:i w:val="0"/>
        </w:rPr>
        <w:t xml:space="preserve">，组内汇总为 </w:t>
      </w:r>
      <w:r>
        <w:rPr>
          <w:rFonts w:ascii="DejaVu Sans Mono" w:hAnsi="DejaVu Sans Mono"/>
          <w:b w:val="0"/>
          <w:i w:val="0"/>
          <w:sz w:val="17"/>
        </w:rPr>
        <w:t>operational</w:t>
      </w:r>
      <w:r>
        <w:rPr>
          <w:b w:val="0"/>
          <w:i w:val="0"/>
        </w:rPr>
        <w:t xml:space="preserve">。风电、光伏、三类电池和氢储能采用 </w:t>
      </w:r>
      <w:r>
        <w:rPr>
          <w:rFonts w:ascii="DejaVu Sans Mono" w:hAnsi="DejaVu Sans Mono"/>
          <w:b w:val="0"/>
          <w:i w:val="0"/>
          <w:sz w:val="17"/>
        </w:rPr>
        <w:t>operational=0</w:t>
      </w:r>
      <w:r>
        <w:rPr>
          <w:b w:val="0"/>
          <w:i w:val="0"/>
        </w:rPr>
        <w:t>。储能投资由此使用已记账的日前与平衡收入，包括回购后保留的日前报酬。剩余电量充电的购电费用为零，循环折旧和固定维护费进入上述各自的资源成本账户。</w:t>
      </w:r>
    </w:p>
    <w:p>
      <w:pPr>
        <w:keepNext/>
      </w:pPr>
      <w:r>
        <w:rPr>
          <w:b w:val="0"/>
          <w:i w:val="0"/>
        </w:rPr>
        <w:t xml:space="preserve">各组的 </w:t>
      </w:r>
      <w:r>
        <w:rPr>
          <w:rFonts w:ascii="DejaVu Sans Mono" w:hAnsi="DejaVu Sans Mono"/>
          <w:b w:val="0"/>
          <w:i w:val="0"/>
          <w:sz w:val="17"/>
        </w:rPr>
        <w:t>capacity</w:t>
      </w:r>
      <w:r>
        <w:rPr>
          <w:b w:val="0"/>
          <w:i w:val="0"/>
        </w:rPr>
        <w:t xml:space="preserve"> 汇总在役 MW，</w:t>
      </w:r>
      <w:r>
        <w:rPr>
          <w:rFonts w:ascii="DejaVu Sans Mono" w:hAnsi="DejaVu Sans Mono"/>
          <w:b w:val="0"/>
          <w:i w:val="0"/>
          <w:sz w:val="17"/>
        </w:rPr>
        <w:t>income</w:t>
      </w:r>
      <w:r>
        <w:rPr>
          <w:b w:val="0"/>
          <w:i w:val="0"/>
        </w:rPr>
        <w:t xml:space="preserve"> 汇总年度 GBP 收入，</w:t>
      </w:r>
      <w:r>
        <w:rPr>
          <w:rFonts w:ascii="DejaVu Sans Mono" w:hAnsi="DejaVu Sans Mono"/>
          <w:b w:val="0"/>
          <w:i w:val="0"/>
          <w:sz w:val="17"/>
        </w:rPr>
        <w:t>replacement</w:t>
      </w:r>
      <w:r>
        <w:rPr>
          <w:b w:val="0"/>
          <w:i w:val="0"/>
        </w:rPr>
        <w:t xml:space="preserve"> 汇总 </w:t>
      </w:r>
      <w:r>
        <w:rPr>
          <w:rFonts w:ascii="DejaVu Sans Mono" w:hAnsi="DejaVu Sans Mono"/>
          <w:b w:val="0"/>
          <w:i w:val="0"/>
          <w:sz w:val="17"/>
        </w:rPr>
        <w:t>total_capex_gbp</w:t>
      </w:r>
      <w:r>
        <w:rPr>
          <w:b w:val="0"/>
          <w:i w:val="0"/>
        </w:rPr>
        <w:t xml:space="preserve">。单位资本费用 </w:t>
      </w:r>
      <w:r>
        <w:rPr>
          <w:rFonts w:ascii="DejaVu Sans Mono" w:hAnsi="DejaVu Sans Mono"/>
          <w:b w:val="0"/>
          <w:i w:val="0"/>
          <w:sz w:val="17"/>
        </w:rPr>
        <w:t>cost_per_mw</w:t>
      </w:r>
      <w:r>
        <w:rPr>
          <w:b w:val="0"/>
          <w:i w:val="0"/>
        </w:rPr>
        <w:t xml:space="preserve"> 为 GBP/MW，</w:t>
      </w:r>
      <w:r>
        <w:rPr>
          <w:rFonts w:ascii="DejaVu Sans Mono" w:hAnsi="DejaVu Sans Mono"/>
          <w:b w:val="0"/>
          <w:i w:val="0"/>
          <w:sz w:val="17"/>
        </w:rPr>
        <w:t>roi</w:t>
      </w:r>
      <w:r>
        <w:rPr>
          <w:b w:val="0"/>
          <w:i w:val="0"/>
        </w:rPr>
        <w:t xml:space="preserve"> 为年度净收入与资本之比，</w:t>
      </w:r>
      <w:r>
        <w:rPr>
          <w:rFonts w:ascii="DejaVu Sans Mono" w:hAnsi="DejaVu Sans Mono"/>
          <w:b w:val="0"/>
          <w:i w:val="0"/>
          <w:sz w:val="17"/>
        </w:rPr>
        <w:t>payback</w:t>
      </w:r>
      <w:r>
        <w:rPr>
          <w:b w:val="0"/>
          <w:i w:val="0"/>
        </w:rPr>
        <w:t xml:space="preserve"> 为年数：</w:t>
      </w:r>
    </w:p>
    <w:p>
      <w:pPr>
        <w:spacing w:after="160"/>
        <w:jc w:val="center"/>
      </w:pPr>
      <w:r>
        <w:drawing>
          <wp:inline xmlns:a="http://schemas.openxmlformats.org/drawingml/2006/main" xmlns:pic="http://schemas.openxmlformats.org/drawingml/2006/picture">
            <wp:extent cx="3564026" cy="1085896"/>
            <wp:docPr id="105" name="Picture 105"/>
            <wp:cNvGraphicFramePr>
              <a:graphicFrameLocks noChangeAspect="1"/>
            </wp:cNvGraphicFramePr>
            <a:graphic>
              <a:graphicData uri="http://schemas.openxmlformats.org/drawingml/2006/picture">
                <pic:pic>
                  <pic:nvPicPr>
                    <pic:cNvPr id="0" name="eq-105.png"/>
                    <pic:cNvPicPr/>
                  </pic:nvPicPr>
                  <pic:blipFill>
                    <a:blip r:embed="rId109"/>
                    <a:stretch>
                      <a:fillRect/>
                    </a:stretch>
                  </pic:blipFill>
                  <pic:spPr>
                    <a:xfrm>
                      <a:off x="0" y="0"/>
                      <a:ext cx="3564026" cy="1085896"/>
                    </a:xfrm>
                    <a:prstGeom prst="rect"/>
                  </pic:spPr>
                </pic:pic>
              </a:graphicData>
            </a:graphic>
          </wp:inline>
        </w:drawing>
      </w:r>
    </w:p>
    <w:p>
      <w:r>
        <w:rPr>
          <w:b w:val="0"/>
          <w:i w:val="0"/>
        </w:rPr>
        <w:t>重置资本为零时，</w:t>
      </w:r>
      <w:r>
        <w:rPr>
          <w:rFonts w:ascii="DejaVu Sans Mono" w:hAnsi="DejaVu Sans Mono"/>
          <w:b w:val="0"/>
          <w:i w:val="0"/>
          <w:sz w:val="17"/>
        </w:rPr>
        <w:t>roi=0</w:t>
      </w:r>
      <w:r>
        <w:rPr>
          <w:b w:val="0"/>
          <w:i w:val="0"/>
        </w:rPr>
        <w:t xml:space="preserve">。当 </w:t>
      </w:r>
      <w:r>
        <w:rPr>
          <w:rFonts w:ascii="DejaVu Sans Mono" w:hAnsi="DejaVu Sans Mono"/>
          <w:b w:val="0"/>
          <w:i w:val="0"/>
          <w:sz w:val="17"/>
        </w:rPr>
        <w:t>abs(net)≤10⁻⁹×max(abs(income),operational)</w:t>
      </w:r>
      <w:r>
        <w:rPr>
          <w:b w:val="0"/>
          <w:i w:val="0"/>
        </w:rPr>
        <w:t xml:space="preserve"> 时，火电 </w:t>
      </w:r>
      <w:r>
        <w:rPr>
          <w:rFonts w:ascii="DejaVu Sans Mono" w:hAnsi="DejaVu Sans Mono"/>
          <w:b w:val="0"/>
          <w:i w:val="0"/>
          <w:sz w:val="17"/>
        </w:rPr>
        <w:t>net</w:t>
      </w:r>
      <w:r>
        <w:rPr>
          <w:b w:val="0"/>
          <w:i w:val="0"/>
        </w:rPr>
        <w:t xml:space="preserve"> 置零，以吸收同组现金流分别求和产生的差值。</w:t>
      </w:r>
      <w:r>
        <w:rPr>
          <w:rFonts w:ascii="DejaVu Sans Mono" w:hAnsi="DejaVu Sans Mono"/>
          <w:b w:val="0"/>
          <w:i w:val="0"/>
          <w:sz w:val="17"/>
        </w:rPr>
        <w:t>preferred</w:t>
      </w:r>
      <w:r>
        <w:rPr>
          <w:b w:val="0"/>
          <w:i w:val="0"/>
        </w:rPr>
        <w:t xml:space="preserve"> 取成员中最大的 </w:t>
      </w:r>
      <w:r>
        <w:rPr>
          <w:rFonts w:ascii="DejaVu Sans Mono" w:hAnsi="DejaVu Sans Mono"/>
          <w:b w:val="0"/>
          <w:i w:val="0"/>
          <w:sz w:val="17"/>
        </w:rPr>
        <w:t>preferred_rate</w:t>
      </w:r>
      <w:r>
        <w:rPr>
          <w:b w:val="0"/>
          <w:i w:val="0"/>
        </w:rPr>
        <w:t>，</w:t>
      </w:r>
      <w:r>
        <w:rPr>
          <w:rFonts w:ascii="DejaVu Sans Mono" w:hAnsi="DejaVu Sans Mono"/>
          <w:b w:val="0"/>
          <w:i w:val="0"/>
          <w:sz w:val="17"/>
        </w:rPr>
        <w:t>life</w:t>
      </w:r>
      <w:r>
        <w:rPr>
          <w:b w:val="0"/>
          <w:i w:val="0"/>
        </w:rPr>
        <w:t xml:space="preserve"> 取最短的 </w:t>
      </w:r>
      <w:r>
        <w:rPr>
          <w:rFonts w:ascii="DejaVu Sans Mono" w:hAnsi="DejaVu Sans Mono"/>
          <w:b w:val="0"/>
          <w:i w:val="0"/>
          <w:sz w:val="17"/>
        </w:rPr>
        <w:t>economic_lifetime_years</w:t>
      </w:r>
      <w:r>
        <w:rPr>
          <w:b w:val="0"/>
          <w:i w:val="0"/>
        </w:rPr>
        <w:t>，</w:t>
      </w:r>
      <w:r>
        <w:rPr>
          <w:rFonts w:ascii="DejaVu Sans Mono" w:hAnsi="DejaVu Sans Mono"/>
          <w:b w:val="0"/>
          <w:i w:val="0"/>
          <w:sz w:val="17"/>
        </w:rPr>
        <w:t>target_payback</w:t>
      </w:r>
      <w:r>
        <w:rPr>
          <w:b w:val="0"/>
          <w:i w:val="0"/>
        </w:rPr>
        <w:t xml:space="preserve"> 取最短的 </w:t>
      </w:r>
      <w:r>
        <w:rPr>
          <w:rFonts w:ascii="DejaVu Sans Mono" w:hAnsi="DejaVu Sans Mono"/>
          <w:b w:val="0"/>
          <w:i w:val="0"/>
          <w:sz w:val="17"/>
        </w:rPr>
        <w:t>target_payback_years</w:t>
      </w:r>
      <w:r>
        <w:rPr>
          <w:b w:val="0"/>
          <w:i w:val="0"/>
        </w:rPr>
        <w:t xml:space="preserve">。缺失或零值分别采用 0.08、25 年和 </w:t>
      </w:r>
      <w:r>
        <w:rPr>
          <w:rFonts w:ascii="DejaVu Sans Mono" w:hAnsi="DejaVu Sans Mono"/>
          <w:b w:val="0"/>
          <w:i w:val="0"/>
          <w:sz w:val="17"/>
        </w:rPr>
        <w:t>life</w:t>
      </w:r>
      <w:r>
        <w:rPr>
          <w:b w:val="0"/>
          <w:i w:val="0"/>
        </w:rPr>
        <w:t xml:space="preserve">。初始默认资产构造将生物质、CCGT 和 OCGT 的目标回收期设为 25 年，其余初值见第 2 章。决策直接通过 </w:t>
      </w:r>
      <w:r>
        <w:rPr>
          <w:rFonts w:ascii="DejaVu Sans Mono" w:hAnsi="DejaVu Sans Mono"/>
          <w:b w:val="0"/>
          <w:i w:val="0"/>
          <w:sz w:val="17"/>
        </w:rPr>
        <w:t>roi</w:t>
      </w:r>
      <w:r>
        <w:rPr>
          <w:b w:val="0"/>
          <w:i w:val="0"/>
        </w:rPr>
        <w:t xml:space="preserve"> 与 </w:t>
      </w:r>
      <w:r>
        <w:rPr>
          <w:rFonts w:ascii="DejaVu Sans Mono" w:hAnsi="DejaVu Sans Mono"/>
          <w:b w:val="0"/>
          <w:i w:val="0"/>
          <w:sz w:val="17"/>
        </w:rPr>
        <w:t>payback</w:t>
      </w:r>
      <w:r>
        <w:rPr>
          <w:b w:val="0"/>
          <w:i w:val="0"/>
        </w:rPr>
        <w:t xml:space="preserve"> 比较年度输入金额。</w:t>
      </w:r>
    </w:p>
    <w:p>
      <w:pPr>
        <w:pStyle w:val="Heading2"/>
      </w:pPr>
      <w:r>
        <w:rPr>
          <w:b w:val="0"/>
          <w:i w:val="0"/>
        </w:rPr>
        <w:t>年度风电与光伏扩容上限</w:t>
      </w:r>
    </w:p>
    <w:p>
      <w:pPr>
        <w:keepNext/>
      </w:pPr>
      <w:r>
        <w:rPr>
          <w:b w:val="0"/>
          <w:i w:val="0"/>
        </w:rPr>
        <w:t xml:space="preserve">风电和光伏扩容受需求峰值与技术可用出力曲线限制。在 </w:t>
      </w:r>
      <w:r>
        <w:rPr>
          <w:rFonts w:ascii="DejaVu Sans Mono" w:hAnsi="DejaVu Sans Mono"/>
          <w:b w:val="0"/>
          <w:i w:val="0"/>
          <w:sz w:val="17"/>
        </w:rPr>
        <w:t>canonical_psm_data</w:t>
      </w:r>
      <w:r>
        <w:rPr>
          <w:b w:val="0"/>
          <w:i w:val="0"/>
        </w:rPr>
        <w:t xml:space="preserve"> 中，</w:t>
      </w:r>
      <w:r>
        <w:rPr>
          <w:rFonts w:ascii="DejaVu Sans Mono" w:hAnsi="DejaVu Sans Mono"/>
          <w:b w:val="0"/>
          <w:i w:val="0"/>
          <w:sz w:val="17"/>
        </w:rPr>
        <w:t>demand</w:t>
      </w:r>
      <w:r>
        <w:rPr>
          <w:b w:val="0"/>
          <w:i w:val="0"/>
        </w:rPr>
        <w:t xml:space="preserve"> 为半小时需求 MWh，</w:t>
      </w:r>
      <w:r>
        <w:rPr>
          <w:rFonts w:ascii="DejaVu Sans Mono" w:hAnsi="DejaVu Sans Mono"/>
          <w:b w:val="0"/>
          <w:i w:val="0"/>
          <w:sz w:val="17"/>
        </w:rPr>
        <w:t>period_hours=0.5</w:t>
      </w:r>
      <w:r>
        <w:rPr>
          <w:b w:val="0"/>
          <w:i w:val="0"/>
        </w:rPr>
        <w:t>，</w:t>
      </w:r>
      <w:r>
        <w:rPr>
          <w:rFonts w:ascii="DejaVu Sans Mono" w:hAnsi="DejaVu Sans Mono"/>
          <w:b w:val="0"/>
          <w:i w:val="0"/>
          <w:sz w:val="17"/>
        </w:rPr>
        <w:t>availability</w:t>
      </w:r>
      <w:r>
        <w:rPr>
          <w:b w:val="0"/>
          <w:i w:val="0"/>
        </w:rPr>
        <w:t xml:space="preserve"> 为无量纲技术出力曲线，</w:t>
      </w:r>
      <w:r>
        <w:rPr>
          <w:rFonts w:ascii="DejaVu Sans Mono" w:hAnsi="DejaVu Sans Mono"/>
          <w:b w:val="0"/>
          <w:i w:val="0"/>
          <w:sz w:val="17"/>
        </w:rPr>
        <w:t>capacity_​by_​technology[technology]</w:t>
      </w:r>
      <w:r>
        <w:rPr>
          <w:b w:val="0"/>
          <w:i w:val="0"/>
        </w:rPr>
        <w:t xml:space="preserve"> 为在役 MW。输入采用第 3 章的投资曲线，曲线最大值为 </w:t>
      </w:r>
      <w:r>
        <w:rPr>
          <w:rFonts w:ascii="DejaVu Sans Mono" w:hAnsi="DejaVu Sans Mono"/>
          <w:b w:val="0"/>
          <w:i w:val="0"/>
          <w:sz w:val="17"/>
        </w:rPr>
        <w:t>peak</w:t>
      </w:r>
      <w:r>
        <w:rPr>
          <w:b w:val="0"/>
          <w:i w:val="0"/>
        </w:rPr>
        <w:t>，新增容量空间计算如下：</w:t>
      </w:r>
    </w:p>
    <w:p>
      <w:pPr>
        <w:spacing w:after="160"/>
        <w:jc w:val="center"/>
      </w:pPr>
      <w:r>
        <w:drawing>
          <wp:inline xmlns:a="http://schemas.openxmlformats.org/drawingml/2006/main" xmlns:pic="http://schemas.openxmlformats.org/drawingml/2006/picture">
            <wp:extent cx="5312968" cy="1191074"/>
            <wp:docPr id="106" name="Picture 106"/>
            <wp:cNvGraphicFramePr>
              <a:graphicFrameLocks noChangeAspect="1"/>
            </wp:cNvGraphicFramePr>
            <a:graphic>
              <a:graphicData uri="http://schemas.openxmlformats.org/drawingml/2006/picture">
                <pic:pic>
                  <pic:nvPicPr>
                    <pic:cNvPr id="0" name="eq-106.png"/>
                    <pic:cNvPicPr/>
                  </pic:nvPicPr>
                  <pic:blipFill>
                    <a:blip r:embed="rId110"/>
                    <a:stretch>
                      <a:fillRect/>
                    </a:stretch>
                  </pic:blipFill>
                  <pic:spPr>
                    <a:xfrm>
                      <a:off x="0" y="0"/>
                      <a:ext cx="5312968" cy="1191074"/>
                    </a:xfrm>
                    <a:prstGeom prst="rect"/>
                  </pic:spPr>
                </pic:pic>
              </a:graphicData>
            </a:graphic>
          </wp:inline>
        </w:drawing>
      </w:r>
    </w:p>
    <w:p>
      <w:r>
        <w:rPr>
          <w:rFonts w:ascii="DejaVu Sans Mono" w:hAnsi="DejaVu Sans Mono"/>
          <w:b w:val="0"/>
          <w:i w:val="0"/>
          <w:sz w:val="17"/>
        </w:rPr>
        <w:t>SchemeCVREExpansionPolicyDefinition.evaluate</w:t>
      </w:r>
      <w:r>
        <w:rPr>
          <w:b w:val="0"/>
          <w:i w:val="0"/>
        </w:rPr>
        <w:t xml:space="preserve"> 从 </w:t>
      </w:r>
      <w:r>
        <w:rPr>
          <w:rFonts w:ascii="DejaVu Sans Mono" w:hAnsi="DejaVu Sans Mono"/>
          <w:b w:val="0"/>
          <w:i w:val="0"/>
          <w:sz w:val="17"/>
        </w:rPr>
        <w:t>expansion.vre_​cap_​fraction</w:t>
      </w:r>
      <w:r>
        <w:rPr>
          <w:b w:val="0"/>
          <w:i w:val="0"/>
        </w:rPr>
        <w:t xml:space="preserve"> 读取 </w:t>
      </w:r>
      <w:r>
        <w:rPr>
          <w:rFonts w:ascii="DejaVu Sans Mono" w:hAnsi="DejaVu Sans Mono"/>
          <w:b w:val="0"/>
          <w:i w:val="0"/>
          <w:sz w:val="17"/>
        </w:rPr>
        <w:t>fraction</w:t>
      </w:r>
      <w:r>
        <w:rPr>
          <w:b w:val="0"/>
          <w:i w:val="0"/>
        </w:rPr>
        <w:t xml:space="preserve">，默认 0.20，返回以 MW 表示的 </w:t>
      </w:r>
      <w:r>
        <w:rPr>
          <w:rFonts w:ascii="DejaVu Sans Mono" w:hAnsi="DejaVu Sans Mono"/>
          <w:b w:val="0"/>
          <w:i w:val="0"/>
          <w:sz w:val="17"/>
        </w:rPr>
        <w:t>limits</w:t>
      </w:r>
      <w:r>
        <w:rPr>
          <w:b w:val="0"/>
          <w:i w:val="0"/>
        </w:rPr>
        <w:t>。需求峰值为 1,000 MW、</w:t>
      </w:r>
      <w:r>
        <w:rPr>
          <w:rFonts w:ascii="DejaVu Sans Mono" w:hAnsi="DejaVu Sans Mono"/>
          <w:b w:val="0"/>
          <w:i w:val="0"/>
          <w:sz w:val="17"/>
        </w:rPr>
        <w:t>peak=0.8</w:t>
      </w:r>
      <w:r>
        <w:rPr>
          <w:b w:val="0"/>
          <w:i w:val="0"/>
        </w:rPr>
        <w:t>、在役容量为 300 MW 时，</w:t>
      </w:r>
      <w:r>
        <w:rPr>
          <w:rFonts w:ascii="DejaVu Sans Mono" w:hAnsi="DejaVu Sans Mono"/>
          <w:b w:val="0"/>
          <w:i w:val="0"/>
          <w:sz w:val="17"/>
        </w:rPr>
        <w:t>headroom=950</w:t>
      </w:r>
      <w:r>
        <w:rPr>
          <w:b w:val="0"/>
          <w:i w:val="0"/>
        </w:rPr>
        <w:t xml:space="preserve"> MW，年度上限为 190 MW。曲线峰值为零时，分母取下限 10⁻¹²。光伏、陆上风电与海上风电分别计算各自上限。</w:t>
      </w:r>
    </w:p>
    <w:p>
      <w:pPr>
        <w:pStyle w:val="Heading2"/>
      </w:pPr>
      <w:r>
        <w:rPr>
          <w:b w:val="0"/>
          <w:i w:val="0"/>
        </w:rPr>
        <w:t>年度储能扩容上限</w:t>
      </w:r>
    </w:p>
    <w:p>
      <w:pPr>
        <w:keepNext/>
      </w:pPr>
      <w:r>
        <w:rPr>
          <w:b w:val="0"/>
          <w:i w:val="0"/>
        </w:rPr>
        <w:t>储能扩容采用现有储能充电后剩余的可再生电量。</w:t>
      </w:r>
      <w:r>
        <w:rPr>
          <w:rFonts w:ascii="DejaVu Sans Mono" w:hAnsi="DejaVu Sans Mono"/>
          <w:b w:val="0"/>
          <w:i w:val="0"/>
          <w:sz w:val="17"/>
        </w:rPr>
        <w:t>corrected_​storage_​headroom</w:t>
      </w:r>
      <w:r>
        <w:rPr>
          <w:b w:val="0"/>
          <w:i w:val="0"/>
        </w:rPr>
        <w:t xml:space="preserve"> 将 </w:t>
      </w:r>
      <w:r>
        <w:rPr>
          <w:rFonts w:ascii="DejaVu Sans Mono" w:hAnsi="DejaVu Sans Mono"/>
          <w:b w:val="0"/>
          <w:i w:val="0"/>
          <w:sz w:val="17"/>
        </w:rPr>
        <w:t>storage_headroom_inputs</w:t>
      </w:r>
      <w:r>
        <w:rPr>
          <w:b w:val="0"/>
          <w:i w:val="0"/>
        </w:rPr>
        <w:t xml:space="preserve"> 中的 </w:t>
      </w:r>
      <w:r>
        <w:rPr>
          <w:rFonts w:ascii="DejaVu Sans Mono" w:hAnsi="DejaVu Sans Mono"/>
          <w:b w:val="0"/>
          <w:i w:val="0"/>
          <w:sz w:val="17"/>
        </w:rPr>
        <w:t>leftover_excess_mwh</w:t>
      </w:r>
      <w:r>
        <w:rPr>
          <w:b w:val="0"/>
          <w:i w:val="0"/>
        </w:rPr>
        <w:t xml:space="preserve"> 读为 </w:t>
      </w:r>
      <w:r>
        <w:rPr>
          <w:rFonts w:ascii="DejaVu Sans Mono" w:hAnsi="DejaVu Sans Mono"/>
          <w:b w:val="0"/>
          <w:i w:val="0"/>
          <w:sz w:val="17"/>
        </w:rPr>
        <w:t>leftover</w:t>
      </w:r>
      <w:r>
        <w:rPr>
          <w:b w:val="0"/>
          <w:i w:val="0"/>
        </w:rPr>
        <w:t xml:space="preserve">，并将逐期 </w:t>
      </w:r>
      <w:r>
        <w:rPr>
          <w:rFonts w:ascii="DejaVu Sans Mono" w:hAnsi="DejaVu Sans Mono"/>
          <w:b w:val="0"/>
          <w:i w:val="0"/>
          <w:sz w:val="17"/>
        </w:rPr>
        <w:t>vre_accepted_mwh</w:t>
      </w:r>
      <w:r>
        <w:rPr>
          <w:b w:val="0"/>
          <w:i w:val="0"/>
        </w:rPr>
        <w:t>、</w:t>
      </w:r>
      <w:r>
        <w:rPr>
          <w:rFonts w:ascii="DejaVu Sans Mono" w:hAnsi="DejaVu Sans Mono"/>
          <w:b w:val="0"/>
          <w:i w:val="0"/>
          <w:sz w:val="17"/>
        </w:rPr>
        <w:t>real_demand_mwh</w:t>
      </w:r>
      <w:r>
        <w:rPr>
          <w:b w:val="0"/>
          <w:i w:val="0"/>
        </w:rPr>
        <w:t xml:space="preserve"> 和 </w:t>
      </w:r>
      <w:r>
        <w:rPr>
          <w:rFonts w:ascii="DejaVu Sans Mono" w:hAnsi="DejaVu Sans Mono"/>
          <w:b w:val="0"/>
          <w:i w:val="0"/>
          <w:sz w:val="17"/>
        </w:rPr>
        <w:t>storage_discharge_mwh</w:t>
      </w:r>
      <w:r>
        <w:rPr>
          <w:b w:val="0"/>
          <w:i w:val="0"/>
        </w:rPr>
        <w:t xml:space="preserve"> 分别读为 </w:t>
      </w:r>
      <w:r>
        <w:rPr>
          <w:rFonts w:ascii="DejaVu Sans Mono" w:hAnsi="DejaVu Sans Mono"/>
          <w:b w:val="0"/>
          <w:i w:val="0"/>
          <w:sz w:val="17"/>
        </w:rPr>
        <w:t>vre</w:t>
      </w:r>
      <w:r>
        <w:rPr>
          <w:b w:val="0"/>
          <w:i w:val="0"/>
        </w:rPr>
        <w:t>、</w:t>
      </w:r>
      <w:r>
        <w:rPr>
          <w:rFonts w:ascii="DejaVu Sans Mono" w:hAnsi="DejaVu Sans Mono"/>
          <w:b w:val="0"/>
          <w:i w:val="0"/>
          <w:sz w:val="17"/>
        </w:rPr>
        <w:t>demand</w:t>
      </w:r>
      <w:r>
        <w:rPr>
          <w:b w:val="0"/>
          <w:i w:val="0"/>
        </w:rPr>
        <w:t xml:space="preserve"> 和 </w:t>
      </w:r>
      <w:r>
        <w:rPr>
          <w:rFonts w:ascii="DejaVu Sans Mono" w:hAnsi="DejaVu Sans Mono"/>
          <w:b w:val="0"/>
          <w:i w:val="0"/>
          <w:sz w:val="17"/>
        </w:rPr>
        <w:t>discharge</w:t>
      </w:r>
      <w:r>
        <w:rPr>
          <w:b w:val="0"/>
          <w:i w:val="0"/>
        </w:rPr>
        <w:t>。这些数组均为每期 MWh，新增储能可用剩余电量与剩余需求缺口为：</w:t>
      </w:r>
    </w:p>
    <w:p>
      <w:pPr>
        <w:spacing w:after="160"/>
        <w:jc w:val="center"/>
      </w:pPr>
      <w:r>
        <w:drawing>
          <wp:inline xmlns:a="http://schemas.openxmlformats.org/drawingml/2006/main" xmlns:pic="http://schemas.openxmlformats.org/drawingml/2006/picture">
            <wp:extent cx="3579875" cy="395478"/>
            <wp:docPr id="107" name="Picture 107"/>
            <wp:cNvGraphicFramePr>
              <a:graphicFrameLocks noChangeAspect="1"/>
            </wp:cNvGraphicFramePr>
            <a:graphic>
              <a:graphicData uri="http://schemas.openxmlformats.org/drawingml/2006/picture">
                <pic:pic>
                  <pic:nvPicPr>
                    <pic:cNvPr id="0" name="eq-107.png"/>
                    <pic:cNvPicPr/>
                  </pic:nvPicPr>
                  <pic:blipFill>
                    <a:blip r:embed="rId111"/>
                    <a:stretch>
                      <a:fillRect/>
                    </a:stretch>
                  </pic:blipFill>
                  <pic:spPr>
                    <a:xfrm>
                      <a:off x="0" y="0"/>
                      <a:ext cx="3579875" cy="395478"/>
                    </a:xfrm>
                    <a:prstGeom prst="rect"/>
                  </pic:spPr>
                </pic:pic>
              </a:graphicData>
            </a:graphic>
          </wp:inline>
        </w:drawing>
      </w:r>
    </w:p>
    <w:p>
      <w:r>
        <w:rPr>
          <w:b w:val="0"/>
          <w:i w:val="0"/>
        </w:rPr>
        <w:t>虚拟储能将上述序列转为充放电曲线。</w:t>
      </w:r>
      <w:r>
        <w:rPr>
          <w:rFonts w:ascii="DejaVu Sans Mono" w:hAnsi="DejaVu Sans Mono"/>
          <w:b w:val="0"/>
          <w:i w:val="0"/>
          <w:sz w:val="17"/>
        </w:rPr>
        <w:t>_simulate_virtual_pool</w:t>
      </w:r>
      <w:r>
        <w:rPr>
          <w:b w:val="0"/>
          <w:i w:val="0"/>
        </w:rPr>
        <w:t xml:space="preserve"> 从 </w:t>
      </w:r>
      <w:r>
        <w:rPr>
          <w:rFonts w:ascii="DejaVu Sans Mono" w:hAnsi="DejaVu Sans Mono"/>
          <w:b w:val="0"/>
          <w:i w:val="0"/>
          <w:sz w:val="17"/>
        </w:rPr>
        <w:t>soc=0</w:t>
      </w:r>
      <w:r>
        <w:rPr>
          <w:b w:val="0"/>
          <w:i w:val="0"/>
        </w:rPr>
        <w:t xml:space="preserve"> 开始，取 </w:t>
      </w:r>
      <w:r>
        <w:rPr>
          <w:rFonts w:ascii="DejaVu Sans Mono" w:hAnsi="DejaVu Sans Mono"/>
          <w:b w:val="0"/>
          <w:i w:val="0"/>
          <w:sz w:val="17"/>
        </w:rPr>
        <w:t>power_mw=10⁹</w:t>
      </w:r>
      <w:r>
        <w:rPr>
          <w:b w:val="0"/>
          <w:i w:val="0"/>
        </w:rPr>
        <w:t xml:space="preserve"> MW、</w:t>
      </w:r>
      <w:r>
        <w:rPr>
          <w:rFonts w:ascii="DejaVu Sans Mono" w:hAnsi="DejaVu Sans Mono"/>
          <w:b w:val="0"/>
          <w:i w:val="0"/>
          <w:sz w:val="17"/>
        </w:rPr>
        <w:t>energy_cap_mwh=10⁹</w:t>
      </w:r>
      <w:r>
        <w:rPr>
          <w:b w:val="0"/>
          <w:i w:val="0"/>
        </w:rPr>
        <w:t xml:space="preserve"> MWh，并将往返效率 </w:t>
      </w:r>
      <w:r>
        <w:rPr>
          <w:rFonts w:ascii="DejaVu Sans Mono" w:hAnsi="DejaVu Sans Mono"/>
          <w:b w:val="0"/>
          <w:i w:val="0"/>
          <w:sz w:val="17"/>
        </w:rPr>
        <w:t>rte=0.98</w:t>
      </w:r>
      <w:r>
        <w:rPr>
          <w:b w:val="0"/>
          <w:i w:val="0"/>
        </w:rPr>
        <w:t xml:space="preserve"> 全部作用于充电侧。</w:t>
      </w:r>
      <w:r>
        <w:rPr>
          <w:rFonts w:ascii="DejaVu Sans Mono" w:hAnsi="DejaVu Sans Mono"/>
          <w:b w:val="0"/>
          <w:i w:val="0"/>
          <w:sz w:val="17"/>
        </w:rPr>
        <w:t>PERIOD_HOURS=0.5</w:t>
      </w:r>
      <w:r>
        <w:rPr>
          <w:b w:val="0"/>
          <w:i w:val="0"/>
        </w:rPr>
        <w:t>，</w:t>
      </w:r>
      <w:r>
        <w:rPr>
          <w:rFonts w:ascii="DejaVu Sans Mono" w:hAnsi="DejaVu Sans Mono"/>
          <w:b w:val="0"/>
          <w:i w:val="0"/>
          <w:sz w:val="17"/>
        </w:rPr>
        <w:t>exc</w:t>
      </w:r>
      <w:r>
        <w:rPr>
          <w:b w:val="0"/>
          <w:i w:val="0"/>
        </w:rPr>
        <w:t>、</w:t>
      </w:r>
      <w:r>
        <w:rPr>
          <w:rFonts w:ascii="DejaVu Sans Mono" w:hAnsi="DejaVu Sans Mono"/>
          <w:b w:val="0"/>
          <w:i w:val="0"/>
          <w:sz w:val="17"/>
        </w:rPr>
        <w:t>dfc</w:t>
      </w:r>
      <w:r>
        <w:rPr>
          <w:b w:val="0"/>
          <w:i w:val="0"/>
        </w:rPr>
        <w:t>、</w:t>
      </w:r>
      <w:r>
        <w:rPr>
          <w:rFonts w:ascii="DejaVu Sans Mono" w:hAnsi="DejaVu Sans Mono"/>
          <w:b w:val="0"/>
          <w:i w:val="0"/>
          <w:sz w:val="17"/>
        </w:rPr>
        <w:t>ch</w:t>
      </w:r>
      <w:r>
        <w:rPr>
          <w:b w:val="0"/>
          <w:i w:val="0"/>
        </w:rPr>
        <w:t xml:space="preserve"> 和 </w:t>
      </w:r>
      <w:r>
        <w:rPr>
          <w:rFonts w:ascii="DejaVu Sans Mono" w:hAnsi="DejaVu Sans Mono"/>
          <w:b w:val="0"/>
          <w:i w:val="0"/>
          <w:sz w:val="17"/>
        </w:rPr>
        <w:t>dis</w:t>
      </w:r>
      <w:r>
        <w:rPr>
          <w:b w:val="0"/>
          <w:i w:val="0"/>
        </w:rPr>
        <w:t xml:space="preserve"> 为每期 MWh。每期先充电，再放电：</w:t>
      </w:r>
    </w:p>
    <w:p>
      <w:pPr>
        <w:keepLines/>
        <w:spacing w:line="276" w:lineRule="auto" w:after="160"/>
      </w:pPr>
      <w:r>
        <w:rPr>
          <w:rFonts w:ascii="DejaVu Sans Mono" w:hAnsi="DejaVu Sans Mono"/>
          <w:b w:val="0"/>
          <w:i w:val="0"/>
          <w:sz w:val="17"/>
        </w:rPr>
        <w:t>max_period_mwh = power_mw * PERIOD_HOURS</w:t>
        <w:br/>
        <w:t>soc = 0</w:t>
        <w:br/>
        <w:t>charge = zeros(len(excess))</w:t>
        <w:br/>
        <w:t>discharge = zeros(len(excess))</w:t>
        <w:br/>
        <w:t>for t in range(len(excess)):</w:t>
        <w:br/>
        <w:t xml:space="preserve">    exc = excess[t]</w:t>
        <w:br/>
        <w:t xml:space="preserve">    dfc = deficit[t]</w:t>
        <w:br/>
        <w:t xml:space="preserve">    if exc &gt; 1e-9 and soc &lt; energy_cap_mwh - 1e-9:</w:t>
        <w:br/>
        <w:t xml:space="preserve">        ch = min(exc, max_period_mwh, (energy_cap_mwh - soc) / max(rte, 1e-9))</w:t>
        <w:br/>
        <w:t xml:space="preserve">        soc += ch * rte</w:t>
        <w:br/>
        <w:t xml:space="preserve">        charge[t] = ch</w:t>
        <w:br/>
        <w:t xml:space="preserve">    if dfc &gt; 1e-9 and soc &gt; 1e-9:</w:t>
        <w:br/>
        <w:t xml:space="preserve">        dis = min(dfc, max_period_mwh, soc)</w:t>
        <w:br/>
        <w:t xml:space="preserve">        soc -= dis</w:t>
        <w:br/>
        <w:t xml:space="preserve">        discharge[t] = dis</w:t>
        <w:br/>
      </w:r>
    </w:p>
    <w:p>
      <w:r>
        <w:rPr>
          <w:b w:val="0"/>
          <w:i w:val="0"/>
        </w:rPr>
        <w:t xml:space="preserve">充放电量除以 0.5 h 后得到 </w:t>
      </w:r>
      <w:r>
        <w:rPr>
          <w:rFonts w:ascii="DejaVu Sans Mono" w:hAnsi="DejaVu Sans Mono"/>
          <w:b w:val="0"/>
          <w:i w:val="0"/>
          <w:sz w:val="17"/>
        </w:rPr>
        <w:t>charge_mw</w:t>
      </w:r>
      <w:r>
        <w:rPr>
          <w:b w:val="0"/>
          <w:i w:val="0"/>
        </w:rPr>
        <w:t xml:space="preserve"> 与 </w:t>
      </w:r>
      <w:r>
        <w:rPr>
          <w:rFonts w:ascii="DejaVu Sans Mono" w:hAnsi="DejaVu Sans Mono"/>
          <w:b w:val="0"/>
          <w:i w:val="0"/>
          <w:sz w:val="17"/>
        </w:rPr>
        <w:t>discharge_mw</w:t>
      </w:r>
      <w:r>
        <w:rPr>
          <w:b w:val="0"/>
          <w:i w:val="0"/>
        </w:rPr>
        <w:t>。</w:t>
      </w:r>
      <w:r>
        <w:rPr>
          <w:rFonts w:ascii="DejaVu Sans Mono" w:hAnsi="DejaVu Sans Mono"/>
          <w:b w:val="0"/>
          <w:i w:val="0"/>
          <w:sz w:val="17"/>
        </w:rPr>
        <w:t>aligned_max_mw</w:t>
      </w:r>
      <w:r>
        <w:rPr>
          <w:b w:val="0"/>
          <w:i w:val="0"/>
        </w:rPr>
        <w:t xml:space="preserve"> 求两条曲线均至少超过 </w:t>
      </w:r>
      <w:r>
        <w:rPr>
          <w:rFonts w:ascii="DejaVu Sans Mono" w:hAnsi="DejaVu Sans Mono"/>
          <w:b w:val="0"/>
          <w:i w:val="0"/>
          <w:sz w:val="17"/>
        </w:rPr>
        <w:t>min_hours</w:t>
      </w:r>
      <w:r>
        <w:rPr>
          <w:b w:val="0"/>
          <w:i w:val="0"/>
        </w:rPr>
        <w:t xml:space="preserve"> 的最大功率，</w:t>
      </w:r>
      <w:r>
        <w:rPr>
          <w:rFonts w:ascii="DejaVu Sans Mono" w:hAnsi="DejaVu Sans Mono"/>
          <w:b w:val="0"/>
          <w:i w:val="0"/>
          <w:sz w:val="17"/>
        </w:rPr>
        <w:t>hours_​above_​power(power_​mw,p_​mw)</w:t>
      </w:r>
      <w:r>
        <w:rPr>
          <w:b w:val="0"/>
          <w:i w:val="0"/>
        </w:rPr>
        <w:t xml:space="preserve"> 统计严格高于 </w:t>
      </w:r>
      <w:r>
        <w:rPr>
          <w:rFonts w:ascii="DejaVu Sans Mono" w:hAnsi="DejaVu Sans Mono"/>
          <w:b w:val="0"/>
          <w:i w:val="0"/>
          <w:sz w:val="17"/>
        </w:rPr>
        <w:t>p_mw</w:t>
      </w:r>
      <w:r>
        <w:rPr>
          <w:b w:val="0"/>
          <w:i w:val="0"/>
        </w:rPr>
        <w:t xml:space="preserve"> 的期数并乘 0.5 h。搜索上界 </w:t>
      </w:r>
      <w:r>
        <w:rPr>
          <w:rFonts w:ascii="DejaVu Sans Mono" w:hAnsi="DejaVu Sans Mono"/>
          <w:b w:val="0"/>
          <w:i w:val="0"/>
          <w:sz w:val="17"/>
        </w:rPr>
        <w:t>peak</w:t>
      </w:r>
      <w:r>
        <w:rPr>
          <w:b w:val="0"/>
          <w:i w:val="0"/>
        </w:rPr>
        <w:t xml:space="preserve"> 取充、放电峰值中较小者。峰值为零，或高于零的时数不足时，结果为零；</w:t>
      </w:r>
      <w:r>
        <w:rPr>
          <w:rFonts w:ascii="DejaVu Sans Mono" w:hAnsi="DejaVu Sans Mono"/>
          <w:b w:val="0"/>
          <w:i w:val="0"/>
          <w:sz w:val="17"/>
        </w:rPr>
        <w:t>min_hours≤0</w:t>
      </w:r>
      <w:r>
        <w:rPr>
          <w:b w:val="0"/>
          <w:i w:val="0"/>
        </w:rPr>
        <w:t xml:space="preserve"> 时返回 </w:t>
      </w:r>
      <w:r>
        <w:rPr>
          <w:rFonts w:ascii="DejaVu Sans Mono" w:hAnsi="DejaVu Sans Mono"/>
          <w:b w:val="0"/>
          <w:i w:val="0"/>
          <w:sz w:val="17"/>
        </w:rPr>
        <w:t>peak</w:t>
      </w:r>
      <w:r>
        <w:rPr>
          <w:b w:val="0"/>
          <w:i w:val="0"/>
        </w:rPr>
        <w:t xml:space="preserve">。对可达到的正时长，从 </w:t>
      </w:r>
      <w:r>
        <w:rPr>
          <w:rFonts w:ascii="DejaVu Sans Mono" w:hAnsi="DejaVu Sans Mono"/>
          <w:b w:val="0"/>
          <w:i w:val="0"/>
          <w:sz w:val="17"/>
        </w:rPr>
        <w:t>lo=0</w:t>
      </w:r>
      <w:r>
        <w:rPr>
          <w:b w:val="0"/>
          <w:i w:val="0"/>
        </w:rPr>
        <w:t>、</w:t>
      </w:r>
      <w:r>
        <w:rPr>
          <w:rFonts w:ascii="DejaVu Sans Mono" w:hAnsi="DejaVu Sans Mono"/>
          <w:b w:val="0"/>
          <w:i w:val="0"/>
          <w:sz w:val="17"/>
        </w:rPr>
        <w:t>hi=peak</w:t>
      </w:r>
      <w:r>
        <w:rPr>
          <w:b w:val="0"/>
          <w:i w:val="0"/>
        </w:rPr>
        <w:t xml:space="preserve"> 开始，执行 64 次二分：</w:t>
      </w:r>
    </w:p>
    <w:p>
      <w:pPr>
        <w:keepLines/>
        <w:spacing w:line="276" w:lineRule="auto" w:after="160"/>
      </w:pPr>
      <w:r>
        <w:rPr>
          <w:rFonts w:ascii="DejaVu Sans Mono" w:hAnsi="DejaVu Sans Mono"/>
          <w:b w:val="0"/>
          <w:i w:val="0"/>
          <w:sz w:val="17"/>
        </w:rPr>
        <w:t>for _ in range(64):</w:t>
        <w:br/>
        <w:t xml:space="preserve">    mid = 0.5 * (lo + hi)</w:t>
        <w:br/>
        <w:t xml:space="preserve">    if (hours_​above_​power(charge_​mw, mid) &gt;= min_hours</w:t>
        <w:br/>
        <w:t xml:space="preserve">            and hours_​above_​power(discharge_​mw, mid) &gt;= min_hours):</w:t>
        <w:br/>
        <w:t xml:space="preserve">        lo = mid</w:t>
        <w:br/>
        <w:t xml:space="preserve">    else:</w:t>
        <w:br/>
        <w:t xml:space="preserve">        hi = mid</w:t>
        <w:br/>
        <w:t>return lo</w:t>
        <w:br/>
      </w:r>
    </w:p>
    <w:p>
      <w:pPr>
        <w:keepNext/>
      </w:pPr>
      <w:r>
        <w:rPr>
          <w:rFonts w:ascii="DejaVu Sans Mono" w:hAnsi="DejaVu Sans Mono"/>
          <w:b w:val="0"/>
          <w:i w:val="0"/>
          <w:sz w:val="17"/>
        </w:rPr>
        <w:t>aligned_​utilisation_​spectrum</w:t>
      </w:r>
      <w:r>
        <w:rPr>
          <w:b w:val="0"/>
          <w:i w:val="0"/>
        </w:rPr>
        <w:t xml:space="preserve"> 分别在 730、365、52 和 0 小时求解，得到 </w:t>
      </w:r>
      <w:r>
        <w:rPr>
          <w:rFonts w:ascii="DejaVu Sans Mono" w:hAnsi="DejaVu Sans Mono"/>
          <w:b w:val="0"/>
          <w:i w:val="0"/>
          <w:sz w:val="17"/>
        </w:rPr>
        <w:t>mw_730</w:t>
      </w:r>
      <w:r>
        <w:rPr>
          <w:b w:val="0"/>
          <w:i w:val="0"/>
        </w:rPr>
        <w:t>、</w:t>
      </w:r>
      <w:r>
        <w:rPr>
          <w:rFonts w:ascii="DejaVu Sans Mono" w:hAnsi="DejaVu Sans Mono"/>
          <w:b w:val="0"/>
          <w:i w:val="0"/>
          <w:sz w:val="17"/>
        </w:rPr>
        <w:t>mw_365</w:t>
      </w:r>
      <w:r>
        <w:rPr>
          <w:b w:val="0"/>
          <w:i w:val="0"/>
        </w:rPr>
        <w:t>、</w:t>
      </w:r>
      <w:r>
        <w:rPr>
          <w:rFonts w:ascii="DejaVu Sans Mono" w:hAnsi="DejaVu Sans Mono"/>
          <w:b w:val="0"/>
          <w:i w:val="0"/>
          <w:sz w:val="17"/>
        </w:rPr>
        <w:t>mw_52</w:t>
      </w:r>
      <w:r>
        <w:rPr>
          <w:b w:val="0"/>
          <w:i w:val="0"/>
        </w:rPr>
        <w:t xml:space="preserve"> 和 </w:t>
      </w:r>
      <w:r>
        <w:rPr>
          <w:rFonts w:ascii="DejaVu Sans Mono" w:hAnsi="DejaVu Sans Mono"/>
          <w:b w:val="0"/>
          <w:i w:val="0"/>
          <w:sz w:val="17"/>
        </w:rPr>
        <w:t>mw_0</w:t>
      </w:r>
      <w:r>
        <w:rPr>
          <w:b w:val="0"/>
          <w:i w:val="0"/>
        </w:rPr>
        <w:t>。依次划分的容量段均以 MW 表示：</w:t>
      </w:r>
    </w:p>
    <w:p>
      <w:pPr>
        <w:spacing w:after="160"/>
        <w:jc w:val="center"/>
      </w:pPr>
      <w:r>
        <w:drawing>
          <wp:inline xmlns:a="http://schemas.openxmlformats.org/drawingml/2006/main" xmlns:pic="http://schemas.openxmlformats.org/drawingml/2006/picture">
            <wp:extent cx="2916555" cy="845710"/>
            <wp:docPr id="108" name="Picture 108"/>
            <wp:cNvGraphicFramePr>
              <a:graphicFrameLocks noChangeAspect="1"/>
            </wp:cNvGraphicFramePr>
            <a:graphic>
              <a:graphicData uri="http://schemas.openxmlformats.org/drawingml/2006/picture">
                <pic:pic>
                  <pic:nvPicPr>
                    <pic:cNvPr id="0" name="eq-108.png"/>
                    <pic:cNvPicPr/>
                  </pic:nvPicPr>
                  <pic:blipFill>
                    <a:blip r:embed="rId112"/>
                    <a:stretch>
                      <a:fillRect/>
                    </a:stretch>
                  </pic:blipFill>
                  <pic:spPr>
                    <a:xfrm>
                      <a:off x="0" y="0"/>
                      <a:ext cx="2916555" cy="845710"/>
                    </a:xfrm>
                    <a:prstGeom prst="rect"/>
                  </pic:spPr>
                </pic:pic>
              </a:graphicData>
            </a:graphic>
          </wp:inline>
        </w:drawing>
      </w:r>
    </w:p>
    <w:p>
      <w:r>
        <w:rPr>
          <w:b w:val="0"/>
          <w:i w:val="0"/>
        </w:rPr>
        <w:t xml:space="preserve">输出将 </w:t>
      </w:r>
      <w:r>
        <w:rPr>
          <w:rFonts w:ascii="DejaVu Sans Mono" w:hAnsi="DejaVu Sans Mono"/>
          <w:b w:val="0"/>
          <w:i w:val="0"/>
          <w:sz w:val="17"/>
        </w:rPr>
        <w:t>daily</w:t>
      </w:r>
      <w:r>
        <w:rPr>
          <w:b w:val="0"/>
          <w:i w:val="0"/>
        </w:rPr>
        <w:t xml:space="preserve"> 存为 </w:t>
      </w:r>
      <w:r>
        <w:rPr>
          <w:rFonts w:ascii="DejaVu Sans Mono" w:hAnsi="DejaVu Sans Mono"/>
          <w:b w:val="0"/>
          <w:i w:val="0"/>
          <w:sz w:val="17"/>
        </w:rPr>
        <w:t>daily_loop</w:t>
      </w:r>
      <w:r>
        <w:rPr>
          <w:b w:val="0"/>
          <w:i w:val="0"/>
        </w:rPr>
        <w:t xml:space="preserve">，将 </w:t>
      </w:r>
      <w:r>
        <w:rPr>
          <w:rFonts w:ascii="DejaVu Sans Mono" w:hAnsi="DejaVu Sans Mono"/>
          <w:b w:val="0"/>
          <w:i w:val="0"/>
          <w:sz w:val="17"/>
        </w:rPr>
        <w:t>interday</w:t>
      </w:r>
      <w:r>
        <w:rPr>
          <w:b w:val="0"/>
          <w:i w:val="0"/>
        </w:rPr>
        <w:t xml:space="preserve"> 存为 </w:t>
      </w:r>
      <w:r>
        <w:rPr>
          <w:rFonts w:ascii="DejaVu Sans Mono" w:hAnsi="DejaVu Sans Mono"/>
          <w:b w:val="0"/>
          <w:i w:val="0"/>
          <w:sz w:val="17"/>
        </w:rPr>
        <w:t>intraday</w:t>
      </w:r>
      <w:r>
        <w:rPr>
          <w:b w:val="0"/>
          <w:i w:val="0"/>
        </w:rPr>
        <w:t>。</w:t>
      </w:r>
      <w:r>
        <w:rPr>
          <w:rFonts w:ascii="DejaVu Sans Mono" w:hAnsi="DejaVu Sans Mono"/>
          <w:b w:val="0"/>
          <w:i w:val="0"/>
          <w:sz w:val="17"/>
        </w:rPr>
        <w:t>corrected_​storage_​headroom</w:t>
      </w:r>
      <w:r>
        <w:rPr>
          <w:b w:val="0"/>
          <w:i w:val="0"/>
        </w:rPr>
        <w:t xml:space="preserve"> 将后者读入 </w:t>
      </w:r>
      <w:r>
        <w:rPr>
          <w:rFonts w:ascii="DejaVu Sans Mono" w:hAnsi="DejaVu Sans Mono"/>
          <w:b w:val="0"/>
          <w:i w:val="0"/>
          <w:sz w:val="17"/>
        </w:rPr>
        <w:t>intraday</w:t>
      </w:r>
      <w:r>
        <w:rPr>
          <w:b w:val="0"/>
          <w:i w:val="0"/>
        </w:rPr>
        <w:t xml:space="preserve">，计算 </w:t>
      </w:r>
      <w:r>
        <w:rPr>
          <w:rFonts w:ascii="DejaVu Sans Mono" w:hAnsi="DejaVu Sans Mono"/>
          <w:b w:val="0"/>
          <w:i w:val="0"/>
          <w:sz w:val="17"/>
        </w:rPr>
        <w:t>power_​room=max(daily+intraday,0)</w:t>
      </w:r>
      <w:r>
        <w:rPr>
          <w:b w:val="0"/>
          <w:i w:val="0"/>
        </w:rPr>
        <w:t xml:space="preserve">，并令 </w:t>
      </w:r>
      <w:r>
        <w:rPr>
          <w:rFonts w:ascii="DejaVu Sans Mono" w:hAnsi="DejaVu Sans Mono"/>
          <w:b w:val="0"/>
          <w:i w:val="0"/>
          <w:sz w:val="17"/>
        </w:rPr>
        <w:t>power_​cap=fraction×power_​room</w:t>
      </w:r>
      <w:r>
        <w:rPr>
          <w:b w:val="0"/>
          <w:i w:val="0"/>
        </w:rPr>
        <w:t>。</w:t>
      </w:r>
      <w:r>
        <w:rPr>
          <w:rFonts w:ascii="DejaVu Sans Mono" w:hAnsi="DejaVu Sans Mono"/>
          <w:b w:val="0"/>
          <w:i w:val="0"/>
          <w:sz w:val="17"/>
        </w:rPr>
        <w:t>1c_battery</w:t>
      </w:r>
      <w:r>
        <w:rPr>
          <w:b w:val="0"/>
          <w:i w:val="0"/>
        </w:rPr>
        <w:t>、</w:t>
      </w:r>
      <w:r>
        <w:rPr>
          <w:rFonts w:ascii="DejaVu Sans Mono" w:hAnsi="DejaVu Sans Mono"/>
          <w:b w:val="0"/>
          <w:i w:val="0"/>
          <w:sz w:val="17"/>
        </w:rPr>
        <w:t>0.5c_battery</w:t>
      </w:r>
      <w:r>
        <w:rPr>
          <w:b w:val="0"/>
          <w:i w:val="0"/>
        </w:rPr>
        <w:t xml:space="preserve"> 和 </w:t>
      </w:r>
      <w:r>
        <w:rPr>
          <w:rFonts w:ascii="DejaVu Sans Mono" w:hAnsi="DejaVu Sans Mono"/>
          <w:b w:val="0"/>
          <w:i w:val="0"/>
          <w:sz w:val="17"/>
        </w:rPr>
        <w:t>0.25c_battery</w:t>
      </w:r>
      <w:r>
        <w:rPr>
          <w:b w:val="0"/>
          <w:i w:val="0"/>
        </w:rPr>
        <w:t xml:space="preserve"> 分别获得这一技术上限，氢储能获得 </w:t>
      </w:r>
      <w:r>
        <w:rPr>
          <w:rFonts w:ascii="DejaVu Sans Mono" w:hAnsi="DejaVu Sans Mono"/>
          <w:b w:val="0"/>
          <w:i w:val="0"/>
          <w:sz w:val="17"/>
        </w:rPr>
        <w:t>hydrogen_​cap=fraction×max(seasonal,0)</w:t>
      </w:r>
      <w:r>
        <w:rPr>
          <w:b w:val="0"/>
          <w:i w:val="0"/>
        </w:rPr>
        <w:t>。</w:t>
      </w:r>
      <w:r>
        <w:rPr>
          <w:rFonts w:ascii="DejaVu Sans Mono" w:hAnsi="DejaVu Sans Mono"/>
          <w:b w:val="0"/>
          <w:i w:val="0"/>
          <w:sz w:val="17"/>
        </w:rPr>
        <w:t>fraction</w:t>
      </w:r>
      <w:r>
        <w:rPr>
          <w:b w:val="0"/>
          <w:i w:val="0"/>
        </w:rPr>
        <w:t xml:space="preserve"> 取自 </w:t>
      </w:r>
      <w:r>
        <w:rPr>
          <w:rFonts w:ascii="DejaVu Sans Mono" w:hAnsi="DejaVu Sans Mono"/>
          <w:b w:val="0"/>
          <w:i w:val="0"/>
          <w:sz w:val="17"/>
        </w:rPr>
        <w:t>expansion.storage_​cap_​fraction</w:t>
      </w:r>
      <w:r>
        <w:rPr>
          <w:b w:val="0"/>
          <w:i w:val="0"/>
        </w:rPr>
        <w:t>，默认 0.20；周尺度容量段保留在报告结果中。同年各组按前述顺序使用所属技术的剩余上限。</w:t>
      </w:r>
    </w:p>
    <w:p>
      <w:r>
        <w:rPr>
          <w:b w:val="0"/>
          <w:i w:val="0"/>
        </w:rPr>
        <w:t>储能计算使用完整的 17,520 期及现有储能充电后的剩余电量序列，Native 调度提供该序列。时序较短、期长异于 0.5 h，或缺少该剩余电量序列时，储能上限返回零。分阶段、LP 或 DC 调度提供的年度结果缺少该序列时，也按这一规则将储能投资上限设为零。</w:t>
      </w:r>
    </w:p>
    <w:p>
      <w:pPr>
        <w:pStyle w:val="Heading2"/>
      </w:pPr>
      <w:r>
        <w:rPr>
          <w:b w:val="0"/>
          <w:i w:val="0"/>
        </w:rPr>
        <w:t>投资量与退役</w:t>
      </w:r>
    </w:p>
    <w:p>
      <w:r>
        <w:rPr>
          <w:b w:val="0"/>
          <w:i w:val="0"/>
        </w:rPr>
        <w:t xml:space="preserve">各技术采用 </w:t>
      </w:r>
      <w:r>
        <w:rPr>
          <w:rFonts w:ascii="DejaVu Sans Mono" w:hAnsi="DejaVu Sans Mono"/>
          <w:b w:val="0"/>
          <w:i w:val="0"/>
          <w:sz w:val="17"/>
        </w:rPr>
        <w:t>investment_​eligibility.json</w:t>
      </w:r>
      <w:r>
        <w:rPr>
          <w:b w:val="0"/>
          <w:i w:val="0"/>
        </w:rPr>
        <w:t xml:space="preserve"> 规定的准入方式。光伏、陆上风电、海上风电、三类电池和氢储能采用 </w:t>
      </w:r>
      <w:r>
        <w:rPr>
          <w:rFonts w:ascii="DejaVu Sans Mono" w:hAnsi="DejaVu Sans Mono"/>
          <w:b w:val="0"/>
          <w:i w:val="0"/>
          <w:sz w:val="17"/>
        </w:rPr>
        <w:t>headroom_required</w:t>
      </w:r>
      <w:r>
        <w:rPr>
          <w:b w:val="0"/>
          <w:i w:val="0"/>
        </w:rPr>
        <w:t>；CCGT、OCGT、</w:t>
      </w:r>
      <w:r>
        <w:rPr>
          <w:rFonts w:ascii="DejaVu Sans Mono" w:hAnsi="DejaVu Sans Mono"/>
          <w:b w:val="0"/>
          <w:i w:val="0"/>
          <w:sz w:val="17"/>
        </w:rPr>
        <w:t>gas</w:t>
      </w:r>
      <w:r>
        <w:rPr>
          <w:b w:val="0"/>
          <w:i w:val="0"/>
        </w:rPr>
        <w:t xml:space="preserve"> 和 </w:t>
      </w:r>
      <w:r>
        <w:rPr>
          <w:rFonts w:ascii="DejaVu Sans Mono" w:hAnsi="DejaVu Sans Mono"/>
          <w:b w:val="0"/>
          <w:i w:val="0"/>
          <w:sz w:val="17"/>
        </w:rPr>
        <w:t>bio_and_waste</w:t>
      </w:r>
      <w:r>
        <w:rPr>
          <w:b w:val="0"/>
          <w:i w:val="0"/>
        </w:rPr>
        <w:t xml:space="preserve"> 采用 </w:t>
      </w:r>
      <w:r>
        <w:rPr>
          <w:rFonts w:ascii="DejaVu Sans Mono" w:hAnsi="DejaVu Sans Mono"/>
          <w:b w:val="0"/>
          <w:i w:val="0"/>
          <w:sz w:val="17"/>
        </w:rPr>
        <w:t>explicit_uncapped</w:t>
      </w:r>
      <w:r>
        <w:rPr>
          <w:b w:val="0"/>
          <w:i w:val="0"/>
        </w:rPr>
        <w:t>。核电容量按外部项目及退役日程更新，抽水蓄能和径流式水电按站点项目推进；通用利润规则对这些技术生成零提案。</w:t>
      </w:r>
    </w:p>
    <w:p>
      <w:r>
        <w:rPr>
          <w:b w:val="0"/>
          <w:i w:val="0"/>
        </w:rPr>
        <w:t>并行扩容规则按各技术最小限额合并。</w:t>
      </w:r>
      <w:r>
        <w:rPr>
          <w:rFonts w:ascii="DejaVu Sans Mono" w:hAnsi="DejaVu Sans Mono"/>
          <w:b w:val="0"/>
          <w:i w:val="0"/>
          <w:sz w:val="17"/>
        </w:rPr>
        <w:t>caps</w:t>
      </w:r>
      <w:r>
        <w:rPr>
          <w:b w:val="0"/>
          <w:i w:val="0"/>
        </w:rPr>
        <w:t xml:space="preserve"> 保存该最小值，每年以 </w:t>
      </w:r>
      <w:r>
        <w:rPr>
          <w:rFonts w:ascii="DejaVu Sans Mono" w:hAnsi="DejaVu Sans Mono"/>
          <w:b w:val="0"/>
          <w:i w:val="0"/>
          <w:sz w:val="17"/>
        </w:rPr>
        <w:t>remaining_​caps=dict(caps)</w:t>
      </w:r>
      <w:r>
        <w:rPr>
          <w:b w:val="0"/>
          <w:i w:val="0"/>
        </w:rPr>
        <w:t xml:space="preserve"> 开始分配。前期项目继续留在建设队列中，只有当年投资计算产生的新增提案扣减 </w:t>
      </w:r>
      <w:r>
        <w:rPr>
          <w:rFonts w:ascii="DejaVu Sans Mono" w:hAnsi="DejaVu Sans Mono"/>
          <w:b w:val="0"/>
          <w:i w:val="0"/>
          <w:sz w:val="17"/>
        </w:rPr>
        <w:t>remaining_caps</w:t>
      </w:r>
      <w:r>
        <w:rPr>
          <w:b w:val="0"/>
          <w:i w:val="0"/>
        </w:rPr>
        <w:t>，因此多个决策年可以围绕同一容量空间保留待建项目。</w:t>
      </w:r>
    </w:p>
    <w:p>
      <w:pPr>
        <w:keepNext/>
      </w:pPr>
      <w:r>
        <w:rPr>
          <w:b w:val="0"/>
          <w:i w:val="0"/>
        </w:rPr>
        <w:t xml:space="preserve">当一组资产满足 </w:t>
      </w:r>
      <w:r>
        <w:rPr>
          <w:rFonts w:ascii="DejaVu Sans Mono" w:hAnsi="DejaVu Sans Mono"/>
          <w:b w:val="0"/>
          <w:i w:val="0"/>
          <w:sz w:val="17"/>
        </w:rPr>
        <w:t>net&lt;0</w:t>
      </w:r>
      <w:r>
        <w:rPr>
          <w:b w:val="0"/>
          <w:i w:val="0"/>
        </w:rPr>
        <w:t xml:space="preserve"> 且 </w:t>
      </w:r>
      <w:r>
        <w:rPr>
          <w:rFonts w:ascii="DejaVu Sans Mono" w:hAnsi="DejaVu Sans Mono"/>
          <w:b w:val="0"/>
          <w:i w:val="0"/>
          <w:sz w:val="17"/>
        </w:rPr>
        <w:t>cost_per_mw</w:t>
      </w:r>
      <w:r>
        <w:rPr>
          <w:b w:val="0"/>
          <w:i w:val="0"/>
        </w:rPr>
        <w:t xml:space="preserve"> 为正时，该组退役部分容量。退役量受组内现有 MW 限制，并按各成员的 MW 比例分摊。其余分组在 </w:t>
      </w:r>
      <w:r>
        <w:rPr>
          <w:rFonts w:ascii="DejaVu Sans Mono" w:hAnsi="DejaVu Sans Mono"/>
          <w:b w:val="0"/>
          <w:i w:val="0"/>
          <w:sz w:val="17"/>
        </w:rPr>
        <w:t>roi&gt;preferred</w:t>
      </w:r>
      <w:r>
        <w:rPr>
          <w:b w:val="0"/>
          <w:i w:val="0"/>
        </w:rPr>
        <w:t xml:space="preserve"> 时选择 </w:t>
      </w:r>
      <w:r>
        <w:rPr>
          <w:rFonts w:ascii="DejaVu Sans Mono" w:hAnsi="DejaVu Sans Mono"/>
          <w:b w:val="0"/>
          <w:i w:val="0"/>
          <w:sz w:val="17"/>
        </w:rPr>
        <w:t>Invest_High</w:t>
      </w:r>
      <w:r>
        <w:rPr>
          <w:b w:val="0"/>
          <w:i w:val="0"/>
        </w:rPr>
        <w:t xml:space="preserve">，否则在 </w:t>
      </w:r>
      <w:r>
        <w:rPr>
          <w:rFonts w:ascii="DejaVu Sans Mono" w:hAnsi="DejaVu Sans Mono"/>
          <w:b w:val="0"/>
          <w:i w:val="0"/>
          <w:sz w:val="17"/>
        </w:rPr>
        <w:t>payback≤target_payback</w:t>
      </w:r>
      <w:r>
        <w:rPr>
          <w:b w:val="0"/>
          <w:i w:val="0"/>
        </w:rPr>
        <w:t xml:space="preserve"> 时选择 </w:t>
      </w:r>
      <w:r>
        <w:rPr>
          <w:rFonts w:ascii="DejaVu Sans Mono" w:hAnsi="DejaVu Sans Mono"/>
          <w:b w:val="0"/>
          <w:i w:val="0"/>
          <w:sz w:val="17"/>
        </w:rPr>
        <w:t>Invest_Profit</w:t>
      </w:r>
      <w:r>
        <w:rPr>
          <w:b w:val="0"/>
          <w:i w:val="0"/>
        </w:rPr>
        <w:t xml:space="preserve">，剩余分组选择 </w:t>
      </w:r>
      <w:r>
        <w:rPr>
          <w:rFonts w:ascii="DejaVu Sans Mono" w:hAnsi="DejaVu Sans Mono"/>
          <w:b w:val="0"/>
          <w:i w:val="0"/>
          <w:sz w:val="17"/>
        </w:rPr>
        <w:t>Do_Nothing</w:t>
      </w:r>
      <w:r>
        <w:rPr>
          <w:b w:val="0"/>
          <w:i w:val="0"/>
        </w:rPr>
        <w:t xml:space="preserve">。两类投资均请求 </w:t>
      </w:r>
      <w:r>
        <w:rPr>
          <w:rFonts w:ascii="DejaVu Sans Mono" w:hAnsi="DejaVu Sans Mono"/>
          <w:b w:val="0"/>
          <w:i w:val="0"/>
          <w:sz w:val="17"/>
        </w:rPr>
        <w:t>net/cost_per_mw</w:t>
      </w:r>
      <w:r>
        <w:rPr>
          <w:b w:val="0"/>
          <w:i w:val="0"/>
        </w:rPr>
        <w:t>，请求退役量与允许新增量为：</w:t>
      </w:r>
    </w:p>
    <w:p>
      <w:pPr>
        <w:spacing w:after="160"/>
        <w:jc w:val="center"/>
      </w:pPr>
      <w:r>
        <w:drawing>
          <wp:inline xmlns:a="http://schemas.openxmlformats.org/drawingml/2006/main" xmlns:pic="http://schemas.openxmlformats.org/drawingml/2006/picture">
            <wp:extent cx="5379720" cy="864230"/>
            <wp:docPr id="109" name="Picture 109"/>
            <wp:cNvGraphicFramePr>
              <a:graphicFrameLocks noChangeAspect="1"/>
            </wp:cNvGraphicFramePr>
            <a:graphic>
              <a:graphicData uri="http://schemas.openxmlformats.org/drawingml/2006/picture">
                <pic:pic>
                  <pic:nvPicPr>
                    <pic:cNvPr id="0" name="eq-109.png"/>
                    <pic:cNvPicPr/>
                  </pic:nvPicPr>
                  <pic:blipFill>
                    <a:blip r:embed="rId113"/>
                    <a:stretch>
                      <a:fillRect/>
                    </a:stretch>
                  </pic:blipFill>
                  <pic:spPr>
                    <a:xfrm>
                      <a:off x="0" y="0"/>
                      <a:ext cx="5379720" cy="864230"/>
                    </a:xfrm>
                    <a:prstGeom prst="rect"/>
                  </pic:spPr>
                </pic:pic>
              </a:graphicData>
            </a:graphic>
          </wp:inline>
        </w:drawing>
      </w:r>
    </w:p>
    <w:p>
      <w:r>
        <w:rPr>
          <w:b w:val="0"/>
          <w:i w:val="0"/>
        </w:rPr>
        <w:t xml:space="preserve">在 </w:t>
      </w:r>
      <w:r>
        <w:rPr>
          <w:rFonts w:ascii="DejaVu Sans Mono" w:hAnsi="DejaVu Sans Mono"/>
          <w:b w:val="0"/>
          <w:i w:val="0"/>
          <w:sz w:val="17"/>
        </w:rPr>
        <w:t>headroom_required</w:t>
      </w:r>
      <w:r>
        <w:rPr>
          <w:b w:val="0"/>
          <w:i w:val="0"/>
        </w:rPr>
        <w:t xml:space="preserve"> 下，</w:t>
      </w:r>
      <w:r>
        <w:rPr>
          <w:rFonts w:ascii="DejaVu Sans Mono" w:hAnsi="DejaVu Sans Mono"/>
          <w:b w:val="0"/>
          <w:i w:val="0"/>
          <w:sz w:val="17"/>
        </w:rPr>
        <w:t>allowed=remaining_​caps.get(technology,0)</w:t>
      </w:r>
      <w:r>
        <w:rPr>
          <w:b w:val="0"/>
          <w:i w:val="0"/>
        </w:rPr>
        <w:t xml:space="preserve">，正的 </w:t>
      </w:r>
      <w:r>
        <w:rPr>
          <w:rFonts w:ascii="DejaVu Sans Mono" w:hAnsi="DejaVu Sans Mono"/>
          <w:b w:val="0"/>
          <w:i w:val="0"/>
          <w:sz w:val="17"/>
        </w:rPr>
        <w:t>addition</w:t>
      </w:r>
      <w:r>
        <w:rPr>
          <w:b w:val="0"/>
          <w:i w:val="0"/>
        </w:rPr>
        <w:t xml:space="preserve"> 扣减该剩余额度；在 </w:t>
      </w:r>
      <w:r>
        <w:rPr>
          <w:rFonts w:ascii="DejaVu Sans Mono" w:hAnsi="DejaVu Sans Mono"/>
          <w:b w:val="0"/>
          <w:i w:val="0"/>
          <w:sz w:val="17"/>
        </w:rPr>
        <w:t>explicit_uncapped</w:t>
      </w:r>
      <w:r>
        <w:rPr>
          <w:b w:val="0"/>
          <w:i w:val="0"/>
        </w:rPr>
        <w:t xml:space="preserve"> 下，</w:t>
      </w:r>
      <w:r>
        <w:rPr>
          <w:rFonts w:ascii="DejaVu Sans Mono" w:hAnsi="DejaVu Sans Mono"/>
          <w:b w:val="0"/>
          <w:i w:val="0"/>
          <w:sz w:val="17"/>
        </w:rPr>
        <w:t>allowed=requested</w:t>
      </w:r>
      <w:r>
        <w:rPr>
          <w:b w:val="0"/>
          <w:i w:val="0"/>
        </w:rPr>
        <w:t>。</w:t>
      </w:r>
      <w:r>
        <w:rPr>
          <w:rFonts w:ascii="DejaVu Sans Mono" w:hAnsi="DejaVu Sans Mono"/>
          <w:b w:val="0"/>
          <w:i w:val="0"/>
          <w:sz w:val="17"/>
        </w:rPr>
        <w:t>Do_Nothing</w:t>
      </w:r>
      <w:r>
        <w:rPr>
          <w:b w:val="0"/>
          <w:i w:val="0"/>
        </w:rPr>
        <w:t xml:space="preserve">、非正单位资本费用和非正 </w:t>
      </w:r>
      <w:r>
        <w:rPr>
          <w:rFonts w:ascii="DejaVu Sans Mono" w:hAnsi="DejaVu Sans Mono"/>
          <w:b w:val="0"/>
          <w:i w:val="0"/>
          <w:sz w:val="17"/>
        </w:rPr>
        <w:t>addition</w:t>
      </w:r>
      <w:r>
        <w:rPr>
          <w:b w:val="0"/>
          <w:i w:val="0"/>
        </w:rPr>
        <w:t xml:space="preserve"> 均产生零新增容量。例如，一个 100 MW 分组拥有 1 亿英镑总资本、1,000 万英镑净收入、</w:t>
      </w:r>
      <w:r>
        <w:rPr>
          <w:rFonts w:ascii="DejaVu Sans Mono" w:hAnsi="DejaVu Sans Mono"/>
          <w:b w:val="0"/>
          <w:i w:val="0"/>
          <w:sz w:val="17"/>
        </w:rPr>
        <w:t>preferred=0.08</w:t>
      </w:r>
      <w:r>
        <w:rPr>
          <w:b w:val="0"/>
          <w:i w:val="0"/>
        </w:rPr>
        <w:t xml:space="preserve"> 和 20 MW 剩余空间，则 </w:t>
      </w:r>
      <w:r>
        <w:rPr>
          <w:rFonts w:ascii="DejaVu Sans Mono" w:hAnsi="DejaVu Sans Mono"/>
          <w:b w:val="0"/>
          <w:i w:val="0"/>
          <w:sz w:val="17"/>
        </w:rPr>
        <w:t>roi=0.10</w:t>
      </w:r>
      <w:r>
        <w:rPr>
          <w:b w:val="0"/>
          <w:i w:val="0"/>
        </w:rPr>
        <w:t>、</w:t>
      </w:r>
      <w:r>
        <w:rPr>
          <w:rFonts w:ascii="DejaVu Sans Mono" w:hAnsi="DejaVu Sans Mono"/>
          <w:b w:val="0"/>
          <w:i w:val="0"/>
          <w:sz w:val="17"/>
        </w:rPr>
        <w:t>payback=10</w:t>
      </w:r>
      <w:r>
        <w:rPr>
          <w:b w:val="0"/>
          <w:i w:val="0"/>
        </w:rPr>
        <w:t xml:space="preserve"> 年、</w:t>
      </w:r>
      <w:r>
        <w:rPr>
          <w:rFonts w:ascii="DejaVu Sans Mono" w:hAnsi="DejaVu Sans Mono"/>
          <w:b w:val="0"/>
          <w:i w:val="0"/>
          <w:sz w:val="17"/>
        </w:rPr>
        <w:t>requested=10</w:t>
      </w:r>
      <w:r>
        <w:rPr>
          <w:b w:val="0"/>
          <w:i w:val="0"/>
        </w:rPr>
        <w:t xml:space="preserve"> MW，规划成功率应用前的提案为 10 MW。</w:t>
      </w:r>
    </w:p>
    <w:p>
      <w:r>
        <w:rPr>
          <w:b w:val="0"/>
          <w:i w:val="0"/>
        </w:rPr>
        <w:t>新增储能保留组内能量与功率之比。对带有能量容量的成员，</w:t>
      </w:r>
      <w:r>
        <w:rPr>
          <w:rFonts w:ascii="DejaVu Sans Mono" w:hAnsi="DejaVu Sans Mono"/>
          <w:b w:val="0"/>
          <w:i w:val="0"/>
          <w:sz w:val="17"/>
        </w:rPr>
        <w:t>duration=sum(asset.energy_​capacity_​mwh)/​capacity</w:t>
      </w:r>
      <w:r>
        <w:rPr>
          <w:b w:val="0"/>
          <w:i w:val="0"/>
        </w:rPr>
        <w:t xml:space="preserve">，单位为小时，提案能量为 </w:t>
      </w:r>
      <w:r>
        <w:rPr>
          <w:rFonts w:ascii="DejaVu Sans Mono" w:hAnsi="DejaVu Sans Mono"/>
          <w:b w:val="0"/>
          <w:i w:val="0"/>
          <w:sz w:val="17"/>
        </w:rPr>
        <w:t>proposal_​energy=addition×duration</w:t>
      </w:r>
      <w:r>
        <w:rPr>
          <w:b w:val="0"/>
          <w:i w:val="0"/>
        </w:rPr>
        <w:t xml:space="preserve"> MWh。提案经济字段由技术资本参数与 </w:t>
      </w:r>
      <w:r>
        <w:rPr>
          <w:rFonts w:ascii="DejaVu Sans Mono" w:hAnsi="DejaVu Sans Mono"/>
          <w:b w:val="0"/>
          <w:i w:val="0"/>
          <w:sz w:val="17"/>
        </w:rPr>
        <w:t>life</w:t>
      </w:r>
      <w:r>
        <w:rPr>
          <w:b w:val="0"/>
          <w:i w:val="0"/>
        </w:rPr>
        <w:t xml:space="preserve"> 构造，非储能固定维护费按 </w:t>
      </w:r>
      <w:r>
        <w:rPr>
          <w:rFonts w:ascii="DejaVu Sans Mono" w:hAnsi="DejaVu Sans Mono"/>
          <w:b w:val="0"/>
          <w:i w:val="0"/>
          <w:sz w:val="17"/>
        </w:rPr>
        <w:t>fixed_​om×addition/​capacity</w:t>
      </w:r>
      <w:r>
        <w:rPr>
          <w:b w:val="0"/>
          <w:i w:val="0"/>
        </w:rPr>
        <w:t xml:space="preserve"> 分配，储能资本及维护费采用技术目录。提案保留投资主体，后续调度收入继续进入该主体分组。分区运行中的 </w:t>
      </w:r>
      <w:r>
        <w:rPr>
          <w:rFonts w:ascii="DejaVu Sans Mono" w:hAnsi="DejaVu Sans Mono"/>
          <w:b w:val="0"/>
          <w:i w:val="0"/>
          <w:sz w:val="17"/>
        </w:rPr>
        <w:t>inherit_​frozen_​zone_​shares</w:t>
      </w:r>
      <w:r>
        <w:rPr>
          <w:b w:val="0"/>
          <w:i w:val="0"/>
        </w:rPr>
        <w:t xml:space="preserve"> 按成员容量加权，给新增提案分配分区份额。</w:t>
      </w:r>
    </w:p>
    <w:p>
      <w:pPr>
        <w:pStyle w:val="Heading2"/>
      </w:pPr>
      <w:r>
        <w:rPr>
          <w:b w:val="0"/>
          <w:i w:val="0"/>
        </w:rPr>
        <w:t>建设时长与规划成功率</w:t>
      </w:r>
    </w:p>
    <w:p>
      <w:r>
        <w:rPr>
          <w:b w:val="0"/>
          <w:i w:val="0"/>
        </w:rPr>
        <w:t xml:space="preserve">每项内生新增容量从 Application Submitted 阶段进入规划。初始载入将 </w:t>
      </w:r>
      <w:r>
        <w:rPr>
          <w:rFonts w:ascii="DejaVu Sans Mono" w:hAnsi="DejaVu Sans Mono"/>
          <w:b w:val="0"/>
          <w:i w:val="0"/>
          <w:sz w:val="17"/>
        </w:rPr>
        <w:t>development_​stage_​timelines</w:t>
      </w:r>
      <w:r>
        <w:rPr>
          <w:b w:val="0"/>
          <w:i w:val="0"/>
        </w:rPr>
        <w:t>、</w:t>
      </w:r>
      <w:r>
        <w:rPr>
          <w:rFonts w:ascii="DejaVu Sans Mono" w:hAnsi="DejaVu Sans Mono"/>
          <w:b w:val="0"/>
          <w:i w:val="0"/>
          <w:sz w:val="17"/>
        </w:rPr>
        <w:t>repd_status_to_timeline</w:t>
      </w:r>
      <w:r>
        <w:rPr>
          <w:b w:val="0"/>
          <w:i w:val="0"/>
        </w:rPr>
        <w:t>、</w:t>
      </w:r>
      <w:r>
        <w:rPr>
          <w:rFonts w:ascii="DejaVu Sans Mono" w:hAnsi="DejaVu Sans Mono"/>
          <w:b w:val="0"/>
          <w:i w:val="0"/>
          <w:sz w:val="17"/>
        </w:rPr>
        <w:t>success_rates</w:t>
      </w:r>
      <w:r>
        <w:rPr>
          <w:b w:val="0"/>
          <w:i w:val="0"/>
        </w:rPr>
        <w:t xml:space="preserve"> 和 </w:t>
      </w:r>
      <w:r>
        <w:rPr>
          <w:rFonts w:ascii="DejaVu Sans Mono" w:hAnsi="DejaVu Sans Mono"/>
          <w:b w:val="0"/>
          <w:i w:val="0"/>
          <w:sz w:val="17"/>
        </w:rPr>
        <w:t>timeline_statistic</w:t>
      </w:r>
      <w:r>
        <w:rPr>
          <w:b w:val="0"/>
          <w:i w:val="0"/>
        </w:rPr>
        <w:t xml:space="preserve"> 复制到 </w:t>
      </w:r>
      <w:r>
        <w:rPr>
          <w:rFonts w:ascii="DejaVu Sans Mono" w:hAnsi="DejaVu Sans Mono"/>
          <w:b w:val="0"/>
          <w:i w:val="0"/>
          <w:sz w:val="17"/>
        </w:rPr>
        <w:t>state.extensions["planning_parameters"]</w:t>
      </w:r>
      <w:r>
        <w:rPr>
          <w:b w:val="0"/>
          <w:i w:val="0"/>
        </w:rPr>
        <w:t>，后续年份继续使用这些表。</w:t>
      </w:r>
      <w:r>
        <w:rPr>
          <w:rFonts w:ascii="DejaVu Sans Mono" w:hAnsi="DejaVu Sans Mono"/>
          <w:b w:val="0"/>
          <w:i w:val="0"/>
          <w:sz w:val="17"/>
        </w:rPr>
        <w:t>endogenous_​planning_​terms</w:t>
      </w:r>
      <w:r>
        <w:rPr>
          <w:b w:val="0"/>
          <w:i w:val="0"/>
        </w:rPr>
        <w:t xml:space="preserve"> 按提案的 </w:t>
      </w:r>
      <w:r>
        <w:rPr>
          <w:rFonts w:ascii="DejaVu Sans Mono" w:hAnsi="DejaVu Sans Mono"/>
          <w:b w:val="0"/>
          <w:i w:val="0"/>
          <w:sz w:val="17"/>
        </w:rPr>
        <w:t>technology</w:t>
      </w:r>
      <w:r>
        <w:rPr>
          <w:b w:val="0"/>
          <w:i w:val="0"/>
        </w:rPr>
        <w:t>、</w:t>
      </w:r>
      <w:r>
        <w:rPr>
          <w:rFonts w:ascii="DejaVu Sans Mono" w:hAnsi="DejaVu Sans Mono"/>
          <w:b w:val="0"/>
          <w:i w:val="0"/>
          <w:sz w:val="17"/>
        </w:rPr>
        <w:t>owner</w:t>
      </w:r>
      <w:r>
        <w:rPr>
          <w:b w:val="0"/>
          <w:i w:val="0"/>
        </w:rPr>
        <w:t xml:space="preserve"> 和 </w:t>
      </w:r>
      <w:r>
        <w:rPr>
          <w:rFonts w:ascii="DejaVu Sans Mono" w:hAnsi="DejaVu Sans Mono"/>
          <w:b w:val="0"/>
          <w:i w:val="0"/>
          <w:sz w:val="17"/>
        </w:rPr>
        <w:t>decision_year</w:t>
      </w:r>
      <w:r>
        <w:rPr>
          <w:b w:val="0"/>
          <w:i w:val="0"/>
        </w:rPr>
        <w:t xml:space="preserve"> 读取这些参数。</w:t>
      </w:r>
    </w:p>
    <w:p>
      <w:r>
        <w:rPr>
          <w:b w:val="0"/>
          <w:i w:val="0"/>
        </w:rPr>
        <w:t>技术决定规划表的匹配标签。光伏使用 Solar Photovoltaics，陆上风电使用 Wind Onshore，海上风电使用 Wind Offshore，普通电池和电解槽使用 Battery。Gas、CCGT、OCGT 和生物质使用 Wind Onshore，</w:t>
      </w:r>
      <w:r>
        <w:rPr>
          <w:rFonts w:ascii="DejaVu Sans Mono" w:hAnsi="DejaVu Sans Mono"/>
          <w:b w:val="0"/>
          <w:i w:val="0"/>
          <w:sz w:val="17"/>
        </w:rPr>
        <w:t>hydrogen_battery</w:t>
      </w:r>
      <w:r>
        <w:rPr>
          <w:b w:val="0"/>
          <w:i w:val="0"/>
        </w:rPr>
        <w:t xml:space="preserve"> 使用 Solar Photovoltaics。相应建设时长键为 </w:t>
      </w:r>
      <w:r>
        <w:rPr>
          <w:rFonts w:ascii="DejaVu Sans Mono" w:hAnsi="DejaVu Sans Mono"/>
          <w:b w:val="0"/>
          <w:i w:val="0"/>
          <w:sz w:val="17"/>
        </w:rPr>
        <w:t>solar</w:t>
      </w:r>
      <w:r>
        <w:rPr>
          <w:b w:val="0"/>
          <w:i w:val="0"/>
        </w:rPr>
        <w:t>、</w:t>
      </w:r>
      <w:r>
        <w:rPr>
          <w:rFonts w:ascii="DejaVu Sans Mono" w:hAnsi="DejaVu Sans Mono"/>
          <w:b w:val="0"/>
          <w:i w:val="0"/>
          <w:sz w:val="17"/>
        </w:rPr>
        <w:t>onshore</w:t>
      </w:r>
      <w:r>
        <w:rPr>
          <w:b w:val="0"/>
          <w:i w:val="0"/>
        </w:rPr>
        <w:t>、</w:t>
      </w:r>
      <w:r>
        <w:rPr>
          <w:rFonts w:ascii="DejaVu Sans Mono" w:hAnsi="DejaVu Sans Mono"/>
          <w:b w:val="0"/>
          <w:i w:val="0"/>
          <w:sz w:val="17"/>
        </w:rPr>
        <w:t>offshore</w:t>
      </w:r>
      <w:r>
        <w:rPr>
          <w:b w:val="0"/>
          <w:i w:val="0"/>
        </w:rPr>
        <w:t xml:space="preserve"> 和 </w:t>
      </w:r>
      <w:r>
        <w:rPr>
          <w:rFonts w:ascii="DejaVu Sans Mono" w:hAnsi="DejaVu Sans Mono"/>
          <w:b w:val="0"/>
          <w:i w:val="0"/>
          <w:sz w:val="17"/>
        </w:rPr>
        <w:t>battery</w:t>
      </w:r>
      <w:r>
        <w:rPr>
          <w:b w:val="0"/>
          <w:i w:val="0"/>
        </w:rPr>
        <w:t>。</w:t>
      </w:r>
    </w:p>
    <w:p>
      <w:r>
        <w:rPr>
          <w:b w:val="0"/>
          <w:i w:val="0"/>
        </w:rPr>
        <w:t xml:space="preserve">阶段表提供项目阶段时长 </w:t>
      </w:r>
      <w:r>
        <w:rPr>
          <w:rFonts w:ascii="DejaVu Sans Mono" w:hAnsi="DejaVu Sans Mono"/>
          <w:b w:val="0"/>
          <w:i w:val="0"/>
          <w:sz w:val="17"/>
        </w:rPr>
        <w:t>months</w:t>
      </w:r>
      <w:r>
        <w:rPr>
          <w:b w:val="0"/>
          <w:i w:val="0"/>
        </w:rPr>
        <w:t>。</w:t>
      </w:r>
      <w:r>
        <w:rPr>
          <w:rFonts w:ascii="DejaVu Sans Mono" w:hAnsi="DejaVu Sans Mono"/>
          <w:b w:val="0"/>
          <w:i w:val="0"/>
          <w:sz w:val="17"/>
        </w:rPr>
        <w:t>_timeline_months</w:t>
      </w:r>
      <w:r>
        <w:rPr>
          <w:b w:val="0"/>
          <w:i w:val="0"/>
        </w:rPr>
        <w:t xml:space="preserve"> 通常读取 Application Submitted 的总时长中位数；</w:t>
      </w:r>
      <w:r>
        <w:rPr>
          <w:rFonts w:ascii="DejaVu Sans Mono" w:hAnsi="DejaVu Sans Mono"/>
          <w:b w:val="0"/>
          <w:i w:val="0"/>
          <w:sz w:val="17"/>
        </w:rPr>
        <w:t>planning.timeline_​statistic=mean</w:t>
      </w:r>
      <w:r>
        <w:rPr>
          <w:b w:val="0"/>
          <w:i w:val="0"/>
        </w:rPr>
        <w:t xml:space="preserve"> 选择相应均值。缺少该技术时长时采用 </w:t>
      </w:r>
      <w:r>
        <w:rPr>
          <w:rFonts w:ascii="DejaVu Sans Mono" w:hAnsi="DejaVu Sans Mono"/>
          <w:b w:val="0"/>
          <w:i w:val="0"/>
          <w:sz w:val="17"/>
        </w:rPr>
        <w:t>solar</w:t>
      </w:r>
      <w:r>
        <w:rPr>
          <w:b w:val="0"/>
          <w:i w:val="0"/>
        </w:rPr>
        <w:t>，缺少总时长均值时采用总时长中位数。所需时长为有限非负值，数据与初始项目时长规则见第 2 章。</w:t>
      </w:r>
    </w:p>
    <w:p>
      <w:r>
        <w:rPr>
          <w:b w:val="0"/>
          <w:i w:val="0"/>
        </w:rPr>
        <w:t>项目时长包含由主体名称确定的 −6 至 +6 个月偏移。</w:t>
      </w:r>
      <w:r>
        <w:rPr>
          <w:rFonts w:ascii="DejaVu Sans Mono" w:hAnsi="DejaVu Sans Mono"/>
          <w:b w:val="0"/>
          <w:i w:val="0"/>
          <w:sz w:val="17"/>
        </w:rPr>
        <w:t>model_​project_​key(owner)</w:t>
      </w:r>
      <w:r>
        <w:rPr>
          <w:b w:val="0"/>
          <w:i w:val="0"/>
        </w:rPr>
        <w:t xml:space="preserve"> 返回 </w:t>
      </w:r>
      <w:r>
        <w:rPr>
          <w:rFonts w:ascii="DejaVu Sans Mono" w:hAnsi="DejaVu Sans Mono"/>
          <w:b w:val="0"/>
          <w:i w:val="0"/>
          <w:sz w:val="17"/>
        </w:rPr>
        <w:t>Model Decision: &lt;owner&gt;</w:t>
      </w:r>
      <w:r>
        <w:rPr>
          <w:b w:val="0"/>
          <w:i w:val="0"/>
        </w:rPr>
        <w:t>，</w:t>
      </w:r>
      <w:r>
        <w:rPr>
          <w:rFonts w:ascii="DejaVu Sans Mono" w:hAnsi="DejaVu Sans Mono"/>
          <w:b w:val="0"/>
          <w:i w:val="0"/>
          <w:sz w:val="17"/>
        </w:rPr>
        <w:t>stable_int_hash</w:t>
      </w:r>
      <w:r>
        <w:rPr>
          <w:b w:val="0"/>
          <w:i w:val="0"/>
        </w:rPr>
        <w:t xml:space="preserve"> 取其 MD5 结果前 16 个十六进制位转为整数。以下计算得到完工年。</w:t>
      </w:r>
      <w:r>
        <w:rPr>
          <w:rFonts w:ascii="DejaVu Sans Mono" w:hAnsi="DejaVu Sans Mono"/>
          <w:b w:val="0"/>
          <w:i w:val="0"/>
          <w:sz w:val="17"/>
        </w:rPr>
        <w:t>round</w:t>
      </w:r>
      <w:r>
        <w:rPr>
          <w:b w:val="0"/>
          <w:i w:val="0"/>
        </w:rPr>
        <w:t xml:space="preserve"> 的中点取偶数规则使 58.5 个月舍入为 58：</w:t>
      </w:r>
    </w:p>
    <w:p>
      <w:pPr>
        <w:keepLines/>
        <w:spacing w:line="276" w:lineRule="auto" w:after="160"/>
      </w:pPr>
      <w:r>
        <w:rPr>
          <w:rFonts w:ascii="DejaVu Sans Mono" w:hAnsi="DejaVu Sans Mono"/>
          <w:b w:val="0"/>
          <w:i w:val="0"/>
          <w:sz w:val="17"/>
        </w:rPr>
        <w:t>key = model_​project_​key(owner)</w:t>
        <w:br/>
        <w:t>jitter = (stable_int_hash(key) % 13) - 6</w:t>
        <w:br/>
        <w:t>rounded_months = int(round(max(1, months + jitter)))</w:t>
        <w:br/>
        <w:t>year = int(decision_year)</w:t>
        <w:br/>
        <w:t>source_completion = year + rounded_months // 12</w:t>
        <w:br/>
        <w:t>completion = max(source_completion, year + 1)</w:t>
        <w:br/>
      </w:r>
    </w:p>
    <w:p>
      <w:r>
        <w:rPr>
          <w:b w:val="0"/>
          <w:i w:val="0"/>
        </w:rPr>
        <w:t xml:space="preserve">提案将 </w:t>
      </w:r>
      <w:r>
        <w:rPr>
          <w:rFonts w:ascii="DejaVu Sans Mono" w:hAnsi="DejaVu Sans Mono"/>
          <w:b w:val="0"/>
          <w:i w:val="0"/>
          <w:sz w:val="17"/>
        </w:rPr>
        <w:t>completion</w:t>
      </w:r>
      <w:r>
        <w:rPr>
          <w:b w:val="0"/>
          <w:i w:val="0"/>
        </w:rPr>
        <w:t xml:space="preserve"> 存为 </w:t>
      </w:r>
      <w:r>
        <w:rPr>
          <w:rFonts w:ascii="DejaVu Sans Mono" w:hAnsi="DejaVu Sans Mono"/>
          <w:b w:val="0"/>
          <w:i w:val="0"/>
          <w:sz w:val="17"/>
        </w:rPr>
        <w:t>expected_​completion_​year</w:t>
      </w:r>
      <w:r>
        <w:rPr>
          <w:b w:val="0"/>
          <w:i w:val="0"/>
        </w:rPr>
        <w:t>，内生项目最早在投资决策次年投运。按 public2 参数表，2025 年海上风电提案在 2033 或 2034 年完工，陆上风电在 2029—2030 年，光伏在 2026—2027 年，普通电池在 2027 年，火电在 2030 年。VALUE 101 使用较短工期，2025 年提案在 2026 年投运。</w:t>
      </w:r>
    </w:p>
    <w:p>
      <w:r>
        <w:rPr>
          <w:b w:val="0"/>
          <w:i w:val="0"/>
        </w:rPr>
        <w:t>成功概率按技术标签与地区读取。</w:t>
      </w:r>
      <w:r>
        <w:rPr>
          <w:rFonts w:ascii="DejaVu Sans Mono" w:hAnsi="DejaVu Sans Mono"/>
          <w:b w:val="0"/>
          <w:i w:val="0"/>
          <w:sz w:val="17"/>
        </w:rPr>
        <w:t>source_success_region</w:t>
      </w:r>
      <w:r>
        <w:rPr>
          <w:b w:val="0"/>
          <w:i w:val="0"/>
        </w:rPr>
        <w:t xml:space="preserve"> 将光伏和陆上风电主体名中的城市映射为地区：Nottingham—East Midlands、Ipswich—Eastern、London—London、Newcastle—North East、Manchester—North West、Edinburgh—Scotland、Portsmouth—South East、Bournemouth—South West、Cardiff—Wales、Birmingham—West Midlands、Sheffield—Yorkshire and Humber。包含 offshore 的主体名映射为 All Offshore，其余主体映射为 England。</w:t>
      </w:r>
      <w:r>
        <w:rPr>
          <w:rFonts w:ascii="DejaVu Sans Mono" w:hAnsi="DejaVu Sans Mono"/>
          <w:b w:val="0"/>
          <w:i w:val="0"/>
          <w:sz w:val="17"/>
        </w:rPr>
        <w:t>_success_rate</w:t>
      </w:r>
      <w:r>
        <w:rPr>
          <w:b w:val="0"/>
          <w:i w:val="0"/>
        </w:rPr>
        <w:t xml:space="preserve"> 依次采用匹配地区值、该技术各地区记录的算术均值和 0.75，概率范围为 [0,1]。</w:t>
      </w:r>
    </w:p>
    <w:p>
      <w:r>
        <w:rPr>
          <w:b w:val="0"/>
          <w:i w:val="0"/>
        </w:rPr>
        <w:t>public2 的海上风电概率约为 0.917，陆上风电地区值约为 0.22—0.71，光伏约为 0.84—0.95。普通电池主体通过技术均值采用约 0.873，火电主体采用约 0.547。VALUE 101 的成功概率为 1。这些概率在新增提案进入规划时应用。</w:t>
      </w:r>
    </w:p>
    <w:p>
      <w:r>
        <w:rPr>
          <w:b w:val="0"/>
          <w:i w:val="0"/>
        </w:rPr>
        <w:t xml:space="preserve">默认 </w:t>
      </w:r>
      <w:r>
        <w:rPr>
          <w:rFonts w:ascii="DejaVu Sans Mono" w:hAnsi="DejaVu Sans Mono"/>
          <w:b w:val="0"/>
          <w:i w:val="0"/>
          <w:sz w:val="17"/>
        </w:rPr>
        <w:t>planning.success_​mode=expected</w:t>
      </w:r>
      <w:r>
        <w:rPr>
          <w:b w:val="0"/>
          <w:i w:val="0"/>
        </w:rPr>
        <w:t xml:space="preserve"> 选择 </w:t>
      </w:r>
      <w:r>
        <w:rPr>
          <w:rFonts w:ascii="DejaVu Sans Mono" w:hAnsi="DejaVu Sans Mono"/>
          <w:b w:val="0"/>
          <w:i w:val="0"/>
          <w:sz w:val="17"/>
        </w:rPr>
        <w:t>mode=expected_capacity</w:t>
      </w:r>
      <w:r>
        <w:rPr>
          <w:b w:val="0"/>
          <w:i w:val="0"/>
        </w:rPr>
        <w:t xml:space="preserve">，接纳 </w:t>
      </w:r>
      <w:r>
        <w:rPr>
          <w:rFonts w:ascii="DejaVu Sans Mono" w:hAnsi="DejaVu Sans Mono"/>
          <w:b w:val="0"/>
          <w:i w:val="0"/>
          <w:sz w:val="17"/>
        </w:rPr>
        <w:t>capacity=proposal.capacity_​mw×probability</w:t>
      </w:r>
      <w:r>
        <w:rPr>
          <w:b w:val="0"/>
          <w:i w:val="0"/>
        </w:rPr>
        <w:t>。能量容量、总资本、年化资本与年度固定费用同时乘以该概率一次，单位价格、寿命与收益率参数保留原值。零概率对应零准入容量，后续年份按日程将获准容量投入运行。</w:t>
      </w:r>
    </w:p>
    <w:p>
      <w:r>
        <w:rPr>
          <w:rFonts w:ascii="DejaVu Sans Mono" w:hAnsi="DejaVu Sans Mono"/>
          <w:b w:val="0"/>
          <w:i w:val="0"/>
          <w:sz w:val="17"/>
        </w:rPr>
        <w:t>planning.success_​mode=stochastic</w:t>
      </w:r>
      <w:r>
        <w:rPr>
          <w:b w:val="0"/>
          <w:i w:val="0"/>
        </w:rPr>
        <w:t xml:space="preserve"> 选择 </w:t>
      </w:r>
      <w:r>
        <w:rPr>
          <w:rFonts w:ascii="DejaVu Sans Mono" w:hAnsi="DejaVu Sans Mono"/>
          <w:b w:val="0"/>
          <w:i w:val="0"/>
          <w:sz w:val="17"/>
        </w:rPr>
        <w:t>mode=seeded_stochastic</w:t>
      </w:r>
      <w:r>
        <w:rPr>
          <w:b w:val="0"/>
          <w:i w:val="0"/>
        </w:rPr>
        <w:t>，在确定性抽取值低于成功概率时接纳完整提案。</w:t>
      </w:r>
      <w:r>
        <w:rPr>
          <w:rFonts w:ascii="DejaVu Sans Mono" w:hAnsi="DejaVu Sans Mono"/>
          <w:b w:val="0"/>
          <w:i w:val="0"/>
          <w:sz w:val="17"/>
        </w:rPr>
        <w:t>seed</w:t>
      </w:r>
      <w:r>
        <w:rPr>
          <w:b w:val="0"/>
          <w:i w:val="0"/>
        </w:rPr>
        <w:t xml:space="preserve"> 来自 </w:t>
      </w:r>
      <w:r>
        <w:rPr>
          <w:rFonts w:ascii="DejaVu Sans Mono" w:hAnsi="DejaVu Sans Mono"/>
          <w:b w:val="0"/>
          <w:i w:val="0"/>
          <w:sz w:val="17"/>
        </w:rPr>
        <w:t>planning.random_seed</w:t>
      </w:r>
      <w:r>
        <w:rPr>
          <w:b w:val="0"/>
          <w:i w:val="0"/>
        </w:rPr>
        <w:t xml:space="preserve">，默认 0。提案标识结合 </w:t>
      </w:r>
      <w:r>
        <w:rPr>
          <w:rFonts w:ascii="DejaVu Sans Mono" w:hAnsi="DejaVu Sans Mono"/>
          <w:b w:val="0"/>
          <w:i w:val="0"/>
          <w:sz w:val="17"/>
        </w:rPr>
        <w:t>run.run_id</w:t>
      </w:r>
      <w:r>
        <w:rPr>
          <w:b w:val="0"/>
          <w:i w:val="0"/>
        </w:rPr>
        <w:t>、决策年、主体及排序后投资组从零开始的序号；相同输入产生相同抽取值，变更运行标识将改变该值：</w:t>
      </w:r>
    </w:p>
    <w:p>
      <w:pPr>
        <w:keepLines/>
        <w:spacing w:line="276" w:lineRule="auto" w:after="160"/>
      </w:pPr>
      <w:r>
        <w:rPr>
          <w:rFonts w:ascii="DejaVu Sans Mono" w:hAnsi="DejaVu Sans Mono"/>
          <w:b w:val="0"/>
          <w:i w:val="0"/>
          <w:sz w:val="17"/>
        </w:rPr>
        <w:t>proposal_id = f"{run.run_id}:{market.year}:{owner}:{index}"</w:t>
        <w:br/>
        <w:t>digest = hashlib.sha256(f"{seed}:{proposal_id}".encode("utf-8")).hexdigest()</w:t>
        <w:br/>
        <w:t>draw = int(digest[:13], 16) / float(16 ** 13 - 1)</w:t>
        <w:br/>
        <w:t>success = probability &gt; 0 and (probability == 1 or draw &lt; probability)</w:t>
        <w:br/>
        <w:t>capacity = proposal.capacity_mw if success else 0</w:t>
        <w:br/>
      </w:r>
    </w:p>
    <w:p>
      <w:r>
        <w:rPr>
          <w:rFonts w:ascii="DejaVu Sans Mono" w:hAnsi="DejaVu Sans Mono"/>
          <w:b w:val="0"/>
          <w:i w:val="0"/>
          <w:sz w:val="17"/>
        </w:rPr>
        <w:t>SchemeCPlanningPipelineDefinition.admit_​projects</w:t>
      </w:r>
      <w:r>
        <w:rPr>
          <w:b w:val="0"/>
          <w:i w:val="0"/>
        </w:rPr>
        <w:t xml:space="preserve"> 将获准项目加入当前建设队列。后续年份开始时，到期项目成为名为 </w:t>
      </w:r>
      <w:r>
        <w:rPr>
          <w:rFonts w:ascii="DejaVu Sans Mono" w:hAnsi="DejaVu Sans Mono"/>
          <w:b w:val="0"/>
          <w:i w:val="0"/>
          <w:sz w:val="17"/>
        </w:rPr>
        <w:t>commissioned:&lt;project_​id&gt;</w:t>
      </w:r>
      <w:r>
        <w:rPr>
          <w:b w:val="0"/>
          <w:i w:val="0"/>
        </w:rPr>
        <w:t xml:space="preserve"> 的资产，并保留获准 MW、MWh、主体和经济字段。径流式水电项目要求 </w:t>
      </w:r>
      <w:r>
        <w:rPr>
          <w:rFonts w:ascii="DejaVu Sans Mono" w:hAnsi="DejaVu Sans Mono"/>
          <w:b w:val="0"/>
          <w:i w:val="0"/>
          <w:sz w:val="17"/>
        </w:rPr>
        <w:t>hydrology_profile_id</w:t>
      </w:r>
      <w:r>
        <w:rPr>
          <w:b w:val="0"/>
          <w:i w:val="0"/>
        </w:rPr>
        <w:t>、</w:t>
      </w:r>
      <w:r>
        <w:rPr>
          <w:rFonts w:ascii="DejaVu Sans Mono" w:hAnsi="DejaVu Sans Mono"/>
          <w:b w:val="0"/>
          <w:i w:val="0"/>
          <w:sz w:val="17"/>
        </w:rPr>
        <w:t>capital_​cost_​scope=new_​build</w:t>
      </w:r>
      <w:r>
        <w:rPr>
          <w:b w:val="0"/>
          <w:i w:val="0"/>
        </w:rPr>
        <w:t xml:space="preserve"> 和 </w:t>
      </w:r>
      <w:r>
        <w:rPr>
          <w:rFonts w:ascii="DejaVu Sans Mono" w:hAnsi="DejaVu Sans Mono"/>
          <w:b w:val="0"/>
          <w:i w:val="0"/>
          <w:sz w:val="17"/>
        </w:rPr>
        <w:t>new_​build_​cost_​source_​id</w:t>
      </w:r>
      <w:r>
        <w:rPr>
          <w:b w:val="0"/>
          <w:i w:val="0"/>
        </w:rPr>
        <w:t xml:space="preserve">，抽水蓄能还要求 </w:t>
      </w:r>
      <w:r>
        <w:rPr>
          <w:rFonts w:ascii="DejaVu Sans Mono" w:hAnsi="DejaVu Sans Mono"/>
          <w:b w:val="0"/>
          <w:i w:val="0"/>
          <w:sz w:val="17"/>
        </w:rPr>
        <w:t>site_constraint_id</w:t>
      </w:r>
      <w:r>
        <w:rPr>
          <w:b w:val="0"/>
          <w:i w:val="0"/>
        </w:rPr>
        <w:t xml:space="preserve"> 与 </w:t>
      </w:r>
      <w:r>
        <w:rPr>
          <w:rFonts w:ascii="DejaVu Sans Mono" w:hAnsi="DejaVu Sans Mono"/>
          <w:b w:val="0"/>
          <w:i w:val="0"/>
          <w:sz w:val="17"/>
        </w:rPr>
        <w:t>energy_capacity_mwh</w:t>
      </w:r>
      <w:r>
        <w:rPr>
          <w:b w:val="0"/>
          <w:i w:val="0"/>
        </w:rPr>
        <w:t>。缺少站点字段的到期项目继续在队列中推迟。</w:t>
      </w:r>
    </w:p>
    <w:p>
      <w:pPr>
        <w:pStyle w:val="Heading2"/>
      </w:pPr>
      <w:r>
        <w:rPr>
          <w:b w:val="0"/>
          <w:i w:val="0"/>
        </w:rPr>
        <w:t>状态更新与年度输出</w:t>
      </w:r>
    </w:p>
    <w:p>
      <w:r>
        <w:rPr>
          <w:b w:val="0"/>
          <w:i w:val="0"/>
        </w:rPr>
        <w:t>退役改变下一年的容量与经济量。</w:t>
      </w:r>
      <w:r>
        <w:rPr>
          <w:rFonts w:ascii="DejaVu Sans Mono" w:hAnsi="DejaVu Sans Mono"/>
          <w:b w:val="0"/>
          <w:i w:val="0"/>
          <w:sz w:val="17"/>
        </w:rPr>
        <w:t>SchemeCStateTransitionDefinition.apply</w:t>
      </w:r>
      <w:r>
        <w:rPr>
          <w:b w:val="0"/>
          <w:i w:val="0"/>
        </w:rPr>
        <w:t xml:space="preserve"> 令 </w:t>
      </w:r>
      <w:r>
        <w:rPr>
          <w:rFonts w:ascii="DejaVu Sans Mono" w:hAnsi="DejaVu Sans Mono"/>
          <w:b w:val="0"/>
          <w:i w:val="0"/>
          <w:sz w:val="17"/>
        </w:rPr>
        <w:t>next_​year=current_​state.year+1</w:t>
      </w:r>
      <w:r>
        <w:rPr>
          <w:b w:val="0"/>
          <w:i w:val="0"/>
        </w:rPr>
        <w:t xml:space="preserve">；达到资产声明的 </w:t>
      </w:r>
      <w:r>
        <w:rPr>
          <w:rFonts w:ascii="DejaVu Sans Mono" w:hAnsi="DejaVu Sans Mono"/>
          <w:b w:val="0"/>
          <w:i w:val="0"/>
          <w:sz w:val="17"/>
        </w:rPr>
        <w:t>model_​unavailable_​from_​year</w:t>
      </w:r>
      <w:r>
        <w:rPr>
          <w:b w:val="0"/>
          <w:i w:val="0"/>
        </w:rPr>
        <w:t xml:space="preserve"> 时整项退役，其余资产按请求退役量调整。</w:t>
      </w:r>
      <w:r>
        <w:rPr>
          <w:rFonts w:ascii="DejaVu Sans Mono" w:hAnsi="DejaVu Sans Mono"/>
          <w:b w:val="0"/>
          <w:i w:val="0"/>
          <w:sz w:val="17"/>
        </w:rPr>
        <w:t>resize_asset_economics</w:t>
      </w:r>
      <w:r>
        <w:rPr>
          <w:b w:val="0"/>
          <w:i w:val="0"/>
        </w:rPr>
        <w:t xml:space="preserve"> 将容量下限设为零，并按剩余资产比例缩放能量容量、固定维护费与资本：</w:t>
      </w:r>
    </w:p>
    <w:p>
      <w:pPr>
        <w:keepLines/>
        <w:spacing w:line="276" w:lineRule="auto" w:after="160"/>
      </w:pPr>
      <w:r>
        <w:rPr>
          <w:rFonts w:ascii="DejaVu Sans Mono" w:hAnsi="DejaVu Sans Mono"/>
          <w:b w:val="0"/>
          <w:i w:val="0"/>
          <w:sz w:val="17"/>
        </w:rPr>
        <w:t>new_capacity = max(capacity_mw, 0)</w:t>
        <w:br/>
        <w:t>ratio = new_capacity / old_capacity</w:t>
        <w:br/>
        <w:t>new_energy = old_energy * ratio</w:t>
        <w:br/>
        <w:t>total_capex = (capital_cost_per_mw * new_capacity</w:t>
        <w:br/>
        <w:t xml:space="preserve">               + capital_cost_per_mwh * new_energy)</w:t>
        <w:br/>
        <w:t>annual_fixed_opex_gbp *= ratio</w:t>
        <w:br/>
        <w:t>annualized_​capital_​cost_​gbp = total_capex * capital_​recovery_​factor(</w:t>
        <w:br/>
        <w:t xml:space="preserve">    capital_discount_rate, economic_​lifetime_​years)</w:t>
        <w:br/>
      </w:r>
    </w:p>
    <w:p>
      <w:r>
        <w:rPr>
          <w:b w:val="0"/>
          <w:i w:val="0"/>
        </w:rPr>
        <w:t xml:space="preserve">其中 </w:t>
      </w:r>
      <w:r>
        <w:rPr>
          <w:rFonts w:ascii="DejaVu Sans Mono" w:hAnsi="DejaVu Sans Mono"/>
          <w:b w:val="0"/>
          <w:i w:val="0"/>
          <w:sz w:val="17"/>
        </w:rPr>
        <w:t>capacity_mw</w:t>
      </w:r>
      <w:r>
        <w:rPr>
          <w:b w:val="0"/>
          <w:i w:val="0"/>
        </w:rPr>
        <w:t xml:space="preserve"> 为原有容量减请求退役量，</w:t>
      </w:r>
      <w:r>
        <w:rPr>
          <w:rFonts w:ascii="DejaVu Sans Mono" w:hAnsi="DejaVu Sans Mono"/>
          <w:b w:val="0"/>
          <w:i w:val="0"/>
          <w:sz w:val="17"/>
        </w:rPr>
        <w:t>old_capacity</w:t>
      </w:r>
      <w:r>
        <w:rPr>
          <w:b w:val="0"/>
          <w:i w:val="0"/>
        </w:rPr>
        <w:t xml:space="preserve"> 与 </w:t>
      </w:r>
      <w:r>
        <w:rPr>
          <w:rFonts w:ascii="DejaVu Sans Mono" w:hAnsi="DejaVu Sans Mono"/>
          <w:b w:val="0"/>
          <w:i w:val="0"/>
          <w:sz w:val="17"/>
        </w:rPr>
        <w:t>new_capacity</w:t>
      </w:r>
      <w:r>
        <w:rPr>
          <w:b w:val="0"/>
          <w:i w:val="0"/>
        </w:rPr>
        <w:t xml:space="preserve"> 为 MW；储能的 </w:t>
      </w:r>
      <w:r>
        <w:rPr>
          <w:rFonts w:ascii="DejaVu Sans Mono" w:hAnsi="DejaVu Sans Mono"/>
          <w:b w:val="0"/>
          <w:i w:val="0"/>
          <w:sz w:val="17"/>
        </w:rPr>
        <w:t>old_energy</w:t>
      </w:r>
      <w:r>
        <w:rPr>
          <w:b w:val="0"/>
          <w:i w:val="0"/>
        </w:rPr>
        <w:t xml:space="preserve"> 与 </w:t>
      </w:r>
      <w:r>
        <w:rPr>
          <w:rFonts w:ascii="DejaVu Sans Mono" w:hAnsi="DejaVu Sans Mono"/>
          <w:b w:val="0"/>
          <w:i w:val="0"/>
          <w:sz w:val="17"/>
        </w:rPr>
        <w:t>new_energy</w:t>
      </w:r>
      <w:r>
        <w:rPr>
          <w:b w:val="0"/>
          <w:i w:val="0"/>
        </w:rPr>
        <w:t xml:space="preserve"> 为 MWh。项目级资本的两个单位造价字段均为零时，</w:t>
      </w:r>
      <w:r>
        <w:rPr>
          <w:rFonts w:ascii="DejaVu Sans Mono" w:hAnsi="DejaVu Sans Mono"/>
          <w:b w:val="0"/>
          <w:i w:val="0"/>
          <w:sz w:val="17"/>
        </w:rPr>
        <w:t>total_capex</w:t>
      </w:r>
      <w:r>
        <w:rPr>
          <w:b w:val="0"/>
          <w:i w:val="0"/>
        </w:rPr>
        <w:t xml:space="preserve"> 取原资本乘 </w:t>
      </w:r>
      <w:r>
        <w:rPr>
          <w:rFonts w:ascii="DejaVu Sans Mono" w:hAnsi="DejaVu Sans Mono"/>
          <w:b w:val="0"/>
          <w:i w:val="0"/>
          <w:sz w:val="17"/>
        </w:rPr>
        <w:t>ratio</w:t>
      </w:r>
      <w:r>
        <w:rPr>
          <w:b w:val="0"/>
          <w:i w:val="0"/>
        </w:rPr>
        <w:t xml:space="preserve">。剩余容量为零时，资产状态设为 </w:t>
      </w:r>
      <w:r>
        <w:rPr>
          <w:rFonts w:ascii="DejaVu Sans Mono" w:hAnsi="DejaVu Sans Mono"/>
          <w:b w:val="0"/>
          <w:i w:val="0"/>
          <w:sz w:val="17"/>
        </w:rPr>
        <w:t>retired</w:t>
      </w:r>
      <w:r>
        <w:rPr>
          <w:b w:val="0"/>
          <w:i w:val="0"/>
        </w:rPr>
        <w:t>。经济寿命用于年化和投资回收期的默认值；退役时间按声明的停用年或上述亏损退役量确定。</w:t>
      </w:r>
    </w:p>
    <w:p>
      <w:r>
        <w:rPr>
          <w:b w:val="0"/>
          <w:i w:val="0"/>
        </w:rPr>
        <w:t xml:space="preserve">下一年 </w:t>
      </w:r>
      <w:r>
        <w:rPr>
          <w:rFonts w:ascii="DejaVu Sans Mono" w:hAnsi="DejaVu Sans Mono"/>
          <w:b w:val="0"/>
          <w:i w:val="0"/>
          <w:sz w:val="17"/>
        </w:rPr>
        <w:t>YearState</w:t>
      </w:r>
      <w:r>
        <w:rPr>
          <w:b w:val="0"/>
          <w:i w:val="0"/>
        </w:rPr>
        <w:t xml:space="preserve"> 包含剩余资产、</w:t>
      </w:r>
      <w:r>
        <w:rPr>
          <w:rFonts w:ascii="DejaVu Sans Mono" w:hAnsi="DejaVu Sans Mono"/>
          <w:b w:val="0"/>
          <w:i w:val="0"/>
          <w:sz w:val="17"/>
        </w:rPr>
        <w:t>admission.next_pipeline</w:t>
      </w:r>
      <w:r>
        <w:rPr>
          <w:b w:val="0"/>
          <w:i w:val="0"/>
        </w:rPr>
        <w:t xml:space="preserve"> 和本年的储能成本观察值。</w:t>
      </w:r>
      <w:r>
        <w:rPr>
          <w:rFonts w:ascii="DejaVu Sans Mono" w:hAnsi="DejaVu Sans Mono"/>
          <w:b w:val="0"/>
          <w:i w:val="0"/>
          <w:sz w:val="17"/>
        </w:rPr>
        <w:t>transition_state</w:t>
      </w:r>
      <w:r>
        <w:rPr>
          <w:b w:val="0"/>
          <w:i w:val="0"/>
        </w:rPr>
        <w:t xml:space="preserve"> 向 </w:t>
      </w:r>
      <w:r>
        <w:rPr>
          <w:rFonts w:ascii="DejaVu Sans Mono" w:hAnsi="DejaVu Sans Mono"/>
          <w:b w:val="0"/>
          <w:i w:val="0"/>
          <w:sz w:val="17"/>
        </w:rPr>
        <w:t>transition.apply</w:t>
      </w:r>
      <w:r>
        <w:rPr>
          <w:b w:val="0"/>
          <w:i w:val="0"/>
        </w:rPr>
        <w:t xml:space="preserve"> 提供已投运机组、继续建设的项目和更新后的观察值，输出年份增加一。物理储能按第 4 章初始条件重新开始，售电观察值进入下一年成本计算。</w:t>
      </w:r>
    </w:p>
    <w:p>
      <w:r>
        <w:rPr>
          <w:b w:val="0"/>
          <w:i w:val="0"/>
        </w:rPr>
        <w:t>年度输出包含调度电量、收入、系统成本、技术上限、投资提案、规划准入及下一年容量。每已供 MWh 成本按上述账户计算。第 9 章定义运行与建设排放、储能碳记录及可选新增网络的建设排放。在研究期末，</w:t>
      </w:r>
      <w:r>
        <w:rPr>
          <w:rFonts w:ascii="DejaVu Sans Mono" w:hAnsi="DejaVu Sans Mono"/>
          <w:b w:val="0"/>
          <w:i w:val="0"/>
          <w:sz w:val="17"/>
        </w:rPr>
        <w:t>report_only</w:t>
      </w:r>
      <w:r>
        <w:rPr>
          <w:b w:val="0"/>
          <w:i w:val="0"/>
        </w:rPr>
        <w:t xml:space="preserve"> 返回最终状态，</w:t>
      </w:r>
      <w:r>
        <w:rPr>
          <w:rFonts w:ascii="DejaVu Sans Mono" w:hAnsi="DejaVu Sans Mono"/>
          <w:b w:val="0"/>
          <w:i w:val="0"/>
          <w:sz w:val="17"/>
        </w:rPr>
        <w:t>pipeline_tail</w:t>
      </w:r>
      <w:r>
        <w:rPr>
          <w:b w:val="0"/>
          <w:i w:val="0"/>
        </w:rPr>
        <w:t xml:space="preserve"> 推进已在建设队列中的项目，</w:t>
      </w:r>
      <w:r>
        <w:rPr>
          <w:rFonts w:ascii="DejaVu Sans Mono" w:hAnsi="DejaVu Sans Mono"/>
          <w:b w:val="0"/>
          <w:i w:val="0"/>
          <w:sz w:val="17"/>
        </w:rPr>
        <w:t>full_extension</w:t>
      </w:r>
      <w:r>
        <w:rPr>
          <w:b w:val="0"/>
          <w:i w:val="0"/>
        </w:rPr>
        <w:t xml:space="preserve"> 继续年度运行与投资。</w:t>
      </w:r>
    </w:p>
    <w:p>
      <w:pPr>
        <w:pStyle w:val="Heading1"/>
      </w:pPr>
      <w:r>
        <w:rPr>
          <w:b w:val="0"/>
          <w:i w:val="0"/>
        </w:rPr>
        <w:t>7 传输与网络约束</w:t>
      </w:r>
    </w:p>
    <w:p>
      <w:pPr>
        <w:pStyle w:val="Heading2"/>
      </w:pPr>
      <w:r>
        <w:rPr>
          <w:b w:val="0"/>
          <w:i w:val="0"/>
        </w:rPr>
        <w:t>分区再调度的空间表示</w:t>
      </w:r>
    </w:p>
    <w:p>
      <w:r>
        <w:rPr>
          <w:b w:val="0"/>
          <w:i w:val="0"/>
        </w:rPr>
        <w:t>分区再调度在全国日前市场之后确定各区发电调整、储能运行和传输。每个半小时采用无损运输模型，使最终注入满足分区需求、走廊限额与地理边界容量。英国输入包含 23 个分区和 22 条计算走廊；下述 DC 与 AC 方法采用节点和支路输入。</w:t>
      </w:r>
    </w:p>
    <w:p>
      <w:r>
        <w:rPr>
          <w:b w:val="0"/>
          <w:i w:val="0"/>
        </w:rPr>
        <w:t xml:space="preserve">英国网络输入由 </w:t>
      </w:r>
      <w:r>
        <w:rPr>
          <w:rFonts w:ascii="DejaVu Sans Mono" w:hAnsi="DejaVu Sans Mono"/>
          <w:b w:val="0"/>
          <w:i w:val="0"/>
          <w:sz w:val="17"/>
        </w:rPr>
        <w:t>value-uk-research-suite-v1-public2</w:t>
      </w:r>
      <w:r>
        <w:rPr>
          <w:b w:val="0"/>
          <w:i w:val="0"/>
        </w:rPr>
        <w:t xml:space="preserve"> 提供。</w:t>
      </w:r>
      <w:r>
        <w:rPr>
          <w:rFonts w:ascii="DejaVu Sans Mono" w:hAnsi="DejaVu Sans Mono"/>
          <w:b w:val="0"/>
          <w:i w:val="0"/>
          <w:sz w:val="17"/>
        </w:rPr>
        <w:t>zones</w:t>
      </w:r>
      <w:r>
        <w:rPr>
          <w:b w:val="0"/>
          <w:i w:val="0"/>
        </w:rPr>
        <w:t xml:space="preserve"> 定义分区，</w:t>
      </w:r>
      <w:r>
        <w:rPr>
          <w:rFonts w:ascii="DejaVu Sans Mono" w:hAnsi="DejaVu Sans Mono"/>
          <w:b w:val="0"/>
          <w:i w:val="0"/>
          <w:sz w:val="17"/>
        </w:rPr>
        <w:t>corridors</w:t>
      </w:r>
      <w:r>
        <w:rPr>
          <w:b w:val="0"/>
          <w:i w:val="0"/>
        </w:rPr>
        <w:t xml:space="preserve"> 给出有向连接，</w:t>
      </w:r>
      <w:r>
        <w:rPr>
          <w:rFonts w:ascii="DejaVu Sans Mono" w:hAnsi="DejaVu Sans Mono"/>
          <w:b w:val="0"/>
          <w:i w:val="0"/>
          <w:sz w:val="17"/>
        </w:rPr>
        <w:t>cutsets</w:t>
      </w:r>
      <w:r>
        <w:rPr>
          <w:b w:val="0"/>
          <w:i w:val="0"/>
        </w:rPr>
        <w:t xml:space="preserve"> 将走廊归入地理边界，</w:t>
      </w:r>
      <w:r>
        <w:rPr>
          <w:rFonts w:ascii="DejaVu Sans Mono" w:hAnsi="DejaVu Sans Mono"/>
          <w:b w:val="0"/>
          <w:i w:val="0"/>
          <w:sz w:val="17"/>
        </w:rPr>
        <w:t>ratings</w:t>
      </w:r>
      <w:r>
        <w:rPr>
          <w:b w:val="0"/>
          <w:i w:val="0"/>
        </w:rPr>
        <w:t xml:space="preserve"> 给出时变限额，</w:t>
      </w:r>
      <w:r>
        <w:rPr>
          <w:rFonts w:ascii="DejaVu Sans Mono" w:hAnsi="DejaVu Sans Mono"/>
          <w:b w:val="0"/>
          <w:i w:val="0"/>
          <w:sz w:val="17"/>
        </w:rPr>
        <w:t>asset-map</w:t>
      </w:r>
      <w:r>
        <w:rPr>
          <w:b w:val="0"/>
          <w:i w:val="0"/>
        </w:rPr>
        <w:t xml:space="preserve"> 分配资源位置，</w:t>
      </w:r>
      <w:r>
        <w:rPr>
          <w:rFonts w:ascii="DejaVu Sans Mono" w:hAnsi="DejaVu Sans Mono"/>
          <w:b w:val="0"/>
          <w:i w:val="0"/>
          <w:sz w:val="17"/>
        </w:rPr>
        <w:t>demand</w:t>
      </w:r>
      <w:r>
        <w:rPr>
          <w:b w:val="0"/>
          <w:i w:val="0"/>
        </w:rPr>
        <w:t xml:space="preserve"> 给出分区 MWh，</w:t>
      </w:r>
      <w:r>
        <w:rPr>
          <w:rFonts w:ascii="DejaVu Sans Mono" w:hAnsi="DejaVu Sans Mono"/>
          <w:b w:val="0"/>
          <w:i w:val="0"/>
          <w:sz w:val="17"/>
        </w:rPr>
        <w:t>interconnector-landings</w:t>
      </w:r>
      <w:r>
        <w:rPr>
          <w:b w:val="0"/>
          <w:i w:val="0"/>
        </w:rPr>
        <w:t xml:space="preserve"> 分配进出口资产的登陆区域。B6 和 B7a 的双向容量分别为 6,700 和 9,400 MW。给定的 2025–2034 年配置保持这些容量固定。</w:t>
      </w:r>
    </w:p>
    <w:p>
      <w:r>
        <w:rPr>
          <w:b w:val="0"/>
          <w:i w:val="0"/>
        </w:rPr>
        <w:t>资产位置按固定优先级确定。</w:t>
      </w:r>
      <w:r>
        <w:rPr>
          <w:rFonts w:ascii="DejaVu Sans Mono" w:hAnsi="DejaVu Sans Mono"/>
          <w:b w:val="0"/>
          <w:i w:val="0"/>
          <w:sz w:val="17"/>
        </w:rPr>
        <w:t>_​zone_​shares_​with_​source</w:t>
      </w:r>
      <w:r>
        <w:rPr>
          <w:b w:val="0"/>
          <w:i w:val="0"/>
        </w:rPr>
        <w:t xml:space="preserve"> 先取 </w:t>
      </w:r>
      <w:r>
        <w:rPr>
          <w:rFonts w:ascii="DejaVu Sans Mono" w:hAnsi="DejaVu Sans Mono"/>
          <w:b w:val="0"/>
          <w:i w:val="0"/>
          <w:sz w:val="17"/>
        </w:rPr>
        <w:t>frozen_zone_shares</w:t>
      </w:r>
      <w:r>
        <w:rPr>
          <w:b w:val="0"/>
          <w:i w:val="0"/>
        </w:rPr>
        <w:t xml:space="preserve">，再用 </w:t>
      </w:r>
      <w:r>
        <w:rPr>
          <w:rFonts w:ascii="DejaVu Sans Mono" w:hAnsi="DejaVu Sans Mono"/>
          <w:b w:val="0"/>
          <w:i w:val="0"/>
          <w:sz w:val="17"/>
        </w:rPr>
        <w:t>asset_id</w:t>
      </w:r>
      <w:r>
        <w:rPr>
          <w:b w:val="0"/>
          <w:i w:val="0"/>
        </w:rPr>
        <w:t xml:space="preserve"> 匹配 </w:t>
      </w:r>
      <w:r>
        <w:rPr>
          <w:rFonts w:ascii="DejaVu Sans Mono" w:hAnsi="DejaVu Sans Mono"/>
          <w:b w:val="0"/>
          <w:i w:val="0"/>
          <w:sz w:val="17"/>
        </w:rPr>
        <w:t>asset-map</w:t>
      </w:r>
      <w:r>
        <w:rPr>
          <w:b w:val="0"/>
          <w:i w:val="0"/>
        </w:rPr>
        <w:t xml:space="preserve">，随后匹配 </w:t>
      </w:r>
      <w:r>
        <w:rPr>
          <w:rFonts w:ascii="DejaVu Sans Mono" w:hAnsi="DejaVu Sans Mono"/>
          <w:b w:val="0"/>
          <w:i w:val="0"/>
          <w:sz w:val="17"/>
        </w:rPr>
        <w:t>interconnector-landings</w:t>
      </w:r>
      <w:r>
        <w:rPr>
          <w:b w:val="0"/>
          <w:i w:val="0"/>
        </w:rPr>
        <w:t xml:space="preserve">，最后归入唯一标为 </w:t>
      </w:r>
      <w:r>
        <w:rPr>
          <w:rFonts w:ascii="DejaVu Sans Mono" w:hAnsi="DejaVu Sans Mono"/>
          <w:b w:val="0"/>
          <w:i w:val="0"/>
          <w:sz w:val="17"/>
        </w:rPr>
        <w:t>is_​unconstrained_​fallback</w:t>
      </w:r>
      <w:r>
        <w:rPr>
          <w:b w:val="0"/>
          <w:i w:val="0"/>
        </w:rPr>
        <w:t xml:space="preserve"> 的分区。份额之和在 </w:t>
      </w:r>
      <w:r>
        <w:drawing>
          <wp:inline xmlns:a="http://schemas.openxmlformats.org/drawingml/2006/main" xmlns:pic="http://schemas.openxmlformats.org/drawingml/2006/picture">
            <wp:extent cx="313975" cy="140242"/>
            <wp:docPr id="110" name="Picture 110"/>
            <wp:cNvGraphicFramePr>
              <a:graphicFrameLocks noChangeAspect="1"/>
            </wp:cNvGraphicFramePr>
            <a:graphic>
              <a:graphicData uri="http://schemas.openxmlformats.org/drawingml/2006/picture">
                <pic:pic>
                  <pic:nvPicPr>
                    <pic:cNvPr id="0" name="eq-110.png"/>
                    <pic:cNvPicPr/>
                  </pic:nvPicPr>
                  <pic:blipFill>
                    <a:blip r:embed="rId114"/>
                    <a:stretch>
                      <a:fillRect/>
                    </a:stretch>
                  </pic:blipFill>
                  <pic:spPr>
                    <a:xfrm>
                      <a:off x="0" y="0"/>
                      <a:ext cx="313975" cy="140242"/>
                    </a:xfrm>
                    <a:prstGeom prst="rect"/>
                  </pic:spPr>
                </pic:pic>
              </a:graphicData>
            </a:graphic>
          </wp:inline>
        </w:drawing>
      </w:r>
      <w:r>
        <w:rPr>
          <w:b w:val="0"/>
          <w:i w:val="0"/>
        </w:rPr>
        <w:t xml:space="preserve"> 容差内等于 1。跨区资产按份额拆为各区的物理单元，装机、储能功率、能量与初始库存均乘该份额，各单元保留原投资主体。</w:t>
      </w:r>
    </w:p>
    <w:p>
      <w:r>
        <w:rPr>
          <w:b w:val="0"/>
          <w:i w:val="0"/>
        </w:rPr>
        <w:t xml:space="preserve">随模型提供的映射按站点定位风电与光伏，将 CCGT、OCGT、生物质、径流水电、核电、储能和进口分配至 </w:t>
      </w:r>
      <w:r>
        <w:rPr>
          <w:rFonts w:ascii="DejaVu Sans Mono" w:hAnsi="DejaVu Sans Mono"/>
          <w:b w:val="0"/>
          <w:i w:val="0"/>
          <w:sz w:val="17"/>
        </w:rPr>
        <w:t>ENGLAND_FALLBACK</w:t>
      </w:r>
      <w:r>
        <w:rPr>
          <w:b w:val="0"/>
          <w:i w:val="0"/>
        </w:rPr>
        <w:t xml:space="preserve">。该节点连接声明的中央运输分区。电站政策生成的核电站通过这一规则进入回退区，其中包括地理位置在 B6 以北的 Torness。进口资源名称采用 </w:t>
      </w:r>
      <w:r>
        <w:rPr>
          <w:rFonts w:ascii="DejaVu Sans Mono" w:hAnsi="DejaVu Sans Mono"/>
          <w:b w:val="0"/>
          <w:i w:val="0"/>
          <w:sz w:val="17"/>
        </w:rPr>
        <w:t>import:&lt;country&gt;</w:t>
      </w:r>
      <w:r>
        <w:rPr>
          <w:b w:val="0"/>
          <w:i w:val="0"/>
        </w:rPr>
        <w:t xml:space="preserve">，登陆表采用 </w:t>
      </w:r>
      <w:r>
        <w:rPr>
          <w:rFonts w:ascii="DejaVu Sans Mono" w:hAnsi="DejaVu Sans Mono"/>
          <w:b w:val="0"/>
          <w:i w:val="0"/>
          <w:sz w:val="17"/>
        </w:rPr>
        <w:t>interconnector:&lt;line&gt;</w:t>
      </w:r>
      <w:r>
        <w:rPr>
          <w:b w:val="0"/>
          <w:i w:val="0"/>
        </w:rPr>
        <w:t>，精确标识匹配因此将这些进口归入回退区。这些分配决定 B6 和 B7a 约束中使用的区域注入。</w:t>
      </w:r>
    </w:p>
    <w:p>
      <w:pPr>
        <w:keepNext/>
      </w:pPr>
      <w:r>
        <w:rPr>
          <w:b w:val="0"/>
          <w:i w:val="0"/>
        </w:rPr>
        <w:t>需求按案例指定的空间规则分配。</w:t>
      </w:r>
      <w:r>
        <w:rPr>
          <w:rFonts w:ascii="DejaVu Sans Mono" w:hAnsi="DejaVu Sans Mono"/>
          <w:b w:val="0"/>
          <w:i w:val="0"/>
          <w:sz w:val="17"/>
        </w:rPr>
        <w:t>align_zonal_demand</w:t>
      </w:r>
      <w:r>
        <w:rPr>
          <w:b w:val="0"/>
          <w:i w:val="0"/>
        </w:rPr>
        <w:t xml:space="preserve"> 在 23 区研究中保留网络包的分区份额，并缩放至全国情景需求。数组 </w:t>
      </w:r>
      <w:r>
        <w:rPr>
          <w:rFonts w:ascii="DejaVu Sans Mono" w:hAnsi="DejaVu Sans Mono"/>
          <w:b w:val="0"/>
          <w:i w:val="0"/>
          <w:sz w:val="17"/>
        </w:rPr>
        <w:t>aligned</w:t>
      </w:r>
      <w:r>
        <w:rPr>
          <w:b w:val="0"/>
          <w:i w:val="0"/>
        </w:rPr>
        <w:t>、</w:t>
      </w:r>
      <w:r>
        <w:rPr>
          <w:rFonts w:ascii="DejaVu Sans Mono" w:hAnsi="DejaVu Sans Mono"/>
          <w:b w:val="0"/>
          <w:i w:val="0"/>
          <w:sz w:val="17"/>
        </w:rPr>
        <w:t>output_real</w:t>
      </w:r>
      <w:r>
        <w:rPr>
          <w:b w:val="0"/>
          <w:i w:val="0"/>
        </w:rPr>
        <w:t>、</w:t>
      </w:r>
      <w:r>
        <w:rPr>
          <w:rFonts w:ascii="DejaVu Sans Mono" w:hAnsi="DejaVu Sans Mono"/>
          <w:b w:val="0"/>
          <w:i w:val="0"/>
          <w:sz w:val="17"/>
        </w:rPr>
        <w:t>network_​demand_​mwh_​by_​zone</w:t>
      </w:r>
      <w:r>
        <w:rPr>
          <w:b w:val="0"/>
          <w:i w:val="0"/>
        </w:rPr>
        <w:t xml:space="preserve"> 和 </w:t>
      </w:r>
      <w:r>
        <w:rPr>
          <w:rFonts w:ascii="DejaVu Sans Mono" w:hAnsi="DejaVu Sans Mono"/>
          <w:b w:val="0"/>
          <w:i w:val="0"/>
          <w:sz w:val="17"/>
        </w:rPr>
        <w:t>network_national_mwh</w:t>
      </w:r>
      <w:r>
        <w:rPr>
          <w:b w:val="0"/>
          <w:i w:val="0"/>
        </w:rPr>
        <w:t xml:space="preserve"> 均为 MWh，区域和时段下标为 </w:t>
      </w:r>
      <w:r>
        <w:drawing>
          <wp:inline xmlns:a="http://schemas.openxmlformats.org/drawingml/2006/main" xmlns:pic="http://schemas.openxmlformats.org/drawingml/2006/picture">
            <wp:extent cx="200818" cy="129695"/>
            <wp:docPr id="111" name="Picture 111"/>
            <wp:cNvGraphicFramePr>
              <a:graphicFrameLocks noChangeAspect="1"/>
            </wp:cNvGraphicFramePr>
            <a:graphic>
              <a:graphicData uri="http://schemas.openxmlformats.org/drawingml/2006/picture">
                <pic:pic>
                  <pic:nvPicPr>
                    <pic:cNvPr id="0" name="eq-111.png"/>
                    <pic:cNvPicPr/>
                  </pic:nvPicPr>
                  <pic:blipFill>
                    <a:blip r:embed="rId115"/>
                    <a:stretch>
                      <a:fillRect/>
                    </a:stretch>
                  </pic:blipFill>
                  <pic:spPr>
                    <a:xfrm>
                      <a:off x="0" y="0"/>
                      <a:ext cx="200818" cy="129695"/>
                    </a:xfrm>
                    <a:prstGeom prst="rect"/>
                  </pic:spPr>
                </pic:pic>
              </a:graphicData>
            </a:graphic>
          </wp:inline>
        </w:drawing>
      </w:r>
      <w:r>
        <w:rPr>
          <w:b w:val="0"/>
          <w:i w:val="0"/>
        </w:rPr>
        <w:t>⁠：</w:t>
      </w:r>
    </w:p>
    <w:p>
      <w:pPr>
        <w:spacing w:after="160"/>
        <w:jc w:val="center"/>
      </w:pPr>
      <w:r>
        <w:drawing>
          <wp:inline xmlns:a="http://schemas.openxmlformats.org/drawingml/2006/main" xmlns:pic="http://schemas.openxmlformats.org/drawingml/2006/picture">
            <wp:extent cx="4083481" cy="631042"/>
            <wp:docPr id="112" name="Picture 112"/>
            <wp:cNvGraphicFramePr>
              <a:graphicFrameLocks noChangeAspect="1"/>
            </wp:cNvGraphicFramePr>
            <a:graphic>
              <a:graphicData uri="http://schemas.openxmlformats.org/drawingml/2006/picture">
                <pic:pic>
                  <pic:nvPicPr>
                    <pic:cNvPr id="0" name="eq-112.png"/>
                    <pic:cNvPicPr/>
                  </pic:nvPicPr>
                  <pic:blipFill>
                    <a:blip r:embed="rId116"/>
                    <a:stretch>
                      <a:fillRect/>
                    </a:stretch>
                  </pic:blipFill>
                  <pic:spPr>
                    <a:xfrm>
                      <a:off x="0" y="0"/>
                      <a:ext cx="4083481" cy="631042"/>
                    </a:xfrm>
                    <a:prstGeom prst="rect"/>
                  </pic:spPr>
                </pic:pic>
              </a:graphicData>
            </a:graphic>
          </wp:inline>
        </w:drawing>
      </w:r>
    </w:p>
    <w:p>
      <w:r>
        <w:rPr>
          <w:b w:val="0"/>
          <w:i w:val="0"/>
        </w:rPr>
        <w:t>最后一个分区取全国需求减去前面各区已分配量。两个全国合计均为零时，缩放系数取 1；全国情景需求为正时，网络需求合计须为正。</w:t>
      </w:r>
      <w:r>
        <w:rPr>
          <w:rFonts w:ascii="DejaVu Sans Mono" w:hAnsi="DejaVu Sans Mono"/>
          <w:b w:val="0"/>
          <w:i w:val="0"/>
          <w:sz w:val="17"/>
        </w:rPr>
        <w:t>demand_mwh_by_zone</w:t>
      </w:r>
      <w:r>
        <w:rPr>
          <w:b w:val="0"/>
          <w:i w:val="0"/>
        </w:rPr>
        <w:t xml:space="preserve"> 与资产位置、实际可用率和互联线进出口限额共同进入期间问题。</w:t>
      </w:r>
    </w:p>
    <w:p>
      <w:pPr>
        <w:pStyle w:val="Heading2"/>
      </w:pPr>
      <w:r>
        <w:rPr>
          <w:b w:val="0"/>
          <w:i w:val="0"/>
        </w:rPr>
        <w:t>日前计划与调整报价</w:t>
      </w:r>
    </w:p>
    <w:p>
      <w:r>
        <w:rPr>
          <w:b w:val="0"/>
          <w:i w:val="0"/>
        </w:rPr>
        <w:t>网络模块根据期间资源可用量和初始储能库存生成日前计划。</w:t>
      </w:r>
      <w:r>
        <w:rPr>
          <w:rFonts w:ascii="DejaVu Sans Mono" w:hAnsi="DejaVu Sans Mono"/>
          <w:b w:val="0"/>
          <w:i w:val="0"/>
          <w:sz w:val="17"/>
        </w:rPr>
        <w:t>_ahead_offers</w:t>
      </w:r>
      <w:r>
        <w:rPr>
          <w:b w:val="0"/>
          <w:i w:val="0"/>
        </w:rPr>
        <w:t xml:space="preserve"> 按 </w:t>
      </w:r>
      <w:r>
        <w:rPr>
          <w:rFonts w:ascii="DejaVu Sans Mono" w:hAnsi="DejaVu Sans Mono"/>
          <w:b w:val="0"/>
          <w:i w:val="0"/>
          <w:sz w:val="17"/>
        </w:rPr>
        <w:t>capacity_mw * availability * period_hours</w:t>
      </w:r>
      <w:r>
        <w:rPr>
          <w:b w:val="0"/>
          <w:i w:val="0"/>
        </w:rPr>
        <w:t xml:space="preserve"> 给出各资源可用 MWh，报价为期间边际费用乘 </w:t>
      </w:r>
      <w:r>
        <w:rPr>
          <w:rFonts w:ascii="DejaVu Sans Mono" w:hAnsi="DejaVu Sans Mono"/>
          <w:b w:val="0"/>
          <w:i w:val="0"/>
          <w:sz w:val="17"/>
        </w:rPr>
        <w:t>market.bid_multiplier</w:t>
      </w:r>
      <w:r>
        <w:rPr>
          <w:b w:val="0"/>
          <w:i w:val="0"/>
        </w:rPr>
        <w:t xml:space="preserve">，倍率默认 1。储能报出时段放电功率限额与 </w:t>
      </w:r>
      <w:r>
        <w:rPr>
          <w:rFonts w:ascii="DejaVu Sans Mono" w:hAnsi="DejaVu Sans Mono"/>
          <w:b w:val="0"/>
          <w:i w:val="0"/>
          <w:sz w:val="17"/>
        </w:rPr>
        <w:t>soc * discharge_efficiency</w:t>
      </w:r>
      <w:r>
        <w:rPr>
          <w:b w:val="0"/>
          <w:i w:val="0"/>
        </w:rPr>
        <w:t xml:space="preserve"> 的较小值，价格为 </w:t>
      </w:r>
      <w:r>
        <w:rPr>
          <w:rFonts w:ascii="DejaVu Sans Mono" w:hAnsi="DejaVu Sans Mono"/>
          <w:b w:val="0"/>
          <w:i w:val="0"/>
          <w:sz w:val="17"/>
        </w:rPr>
        <w:t>bid_​price_​gbp_​per_​mwh(0.0)</w:t>
      </w:r>
      <w:r>
        <w:rPr>
          <w:b w:val="0"/>
          <w:i w:val="0"/>
        </w:rPr>
        <w:t xml:space="preserve"> 乘同一倍率。</w:t>
      </w:r>
      <w:r>
        <w:rPr>
          <w:rFonts w:ascii="DejaVu Sans Mono" w:hAnsi="DejaVu Sans Mono"/>
          <w:b w:val="0"/>
          <w:i w:val="0"/>
          <w:sz w:val="17"/>
        </w:rPr>
        <w:t>clear_ahead</w:t>
      </w:r>
      <w:r>
        <w:rPr>
          <w:b w:val="0"/>
          <w:i w:val="0"/>
        </w:rPr>
        <w:t xml:space="preserve"> 先按 </w:t>
      </w:r>
      <w:r>
        <w:rPr>
          <w:rFonts w:ascii="DejaVu Sans Mono" w:hAnsi="DejaVu Sans Mono"/>
          <w:b w:val="0"/>
          <w:i w:val="0"/>
          <w:sz w:val="17"/>
        </w:rPr>
        <w:t>price_gbp_per_mwh</w:t>
      </w:r>
      <w:r>
        <w:rPr>
          <w:b w:val="0"/>
          <w:i w:val="0"/>
        </w:rPr>
        <w:t xml:space="preserve">、再按 </w:t>
      </w:r>
      <w:r>
        <w:rPr>
          <w:rFonts w:ascii="DejaVu Sans Mono" w:hAnsi="DejaVu Sans Mono"/>
          <w:b w:val="0"/>
          <w:i w:val="0"/>
          <w:sz w:val="17"/>
        </w:rPr>
        <w:t>offer_id</w:t>
      </w:r>
      <w:r>
        <w:rPr>
          <w:b w:val="0"/>
          <w:i w:val="0"/>
        </w:rPr>
        <w:t xml:space="preserve"> 排序，每次接纳可用量与剩余预测 MWh 的较小值；剩余需求至多为 </w:t>
      </w:r>
      <w:r>
        <w:rPr>
          <w:rFonts w:ascii="DejaVu Sans Mono" w:hAnsi="DejaVu Sans Mono"/>
          <w:b w:val="0"/>
          <w:i w:val="0"/>
          <w:sz w:val="17"/>
        </w:rPr>
        <w:t>1e-12</w:t>
      </w:r>
      <w:r>
        <w:rPr>
          <w:b w:val="0"/>
          <w:i w:val="0"/>
        </w:rPr>
        <w:t xml:space="preserve"> MWh 或全部报价耗尽时结束。最后接纳价格用于日前结算。</w:t>
      </w:r>
    </w:p>
    <w:p>
      <w:r>
        <w:rPr>
          <w:b w:val="0"/>
          <w:i w:val="0"/>
        </w:rPr>
        <w:t xml:space="preserve">资源调整量以 </w:t>
      </w:r>
      <w:r>
        <w:rPr>
          <w:rFonts w:ascii="DejaVu Sans Mono" w:hAnsi="DejaVu Sans Mono"/>
          <w:b w:val="0"/>
          <w:i w:val="0"/>
          <w:sz w:val="17"/>
        </w:rPr>
        <w:t>schedule_mwh_by_asset</w:t>
      </w:r>
      <w:r>
        <w:rPr>
          <w:b w:val="0"/>
          <w:i w:val="0"/>
        </w:rPr>
        <w:t xml:space="preserve"> 为起点。</w:t>
      </w:r>
      <w:r>
        <w:rPr>
          <w:rFonts w:ascii="DejaVu Sans Mono" w:hAnsi="DejaVu Sans Mono"/>
          <w:b w:val="0"/>
          <w:i w:val="0"/>
          <w:sz w:val="17"/>
        </w:rPr>
        <w:t>_flexibility_bids</w:t>
      </w:r>
      <w:r>
        <w:rPr>
          <w:b w:val="0"/>
          <w:i w:val="0"/>
        </w:rPr>
        <w:t xml:space="preserve"> 将可用量减计划量的正值报为上调 MWh，将计划量报为最大下调 MWh。上调价格为边际费用乘 </w:t>
      </w:r>
      <w:r>
        <w:rPr>
          <w:rFonts w:ascii="DejaVu Sans Mono" w:hAnsi="DejaVu Sans Mono"/>
          <w:b w:val="0"/>
          <w:i w:val="0"/>
          <w:sz w:val="17"/>
        </w:rPr>
        <w:t>market.bid_multiplier</w:t>
      </w:r>
      <w:r>
        <w:rPr>
          <w:b w:val="0"/>
          <w:i w:val="0"/>
        </w:rPr>
        <w:t>。</w:t>
      </w:r>
      <w:r>
        <w:rPr>
          <w:rFonts w:ascii="DejaVu Sans Mono" w:hAnsi="DejaVu Sans Mono"/>
          <w:b w:val="0"/>
          <w:i w:val="0"/>
          <w:sz w:val="17"/>
        </w:rPr>
        <w:t>network-economic-v2</w:t>
      </w:r>
      <w:r>
        <w:rPr>
          <w:b w:val="0"/>
          <w:i w:val="0"/>
        </w:rPr>
        <w:t xml:space="preserve"> 下调规则采用默认取 1 的 </w:t>
      </w:r>
      <w:r>
        <w:rPr>
          <w:rFonts w:ascii="DejaVu Sans Mono" w:hAnsi="DejaVu Sans Mono"/>
          <w:b w:val="0"/>
          <w:i w:val="0"/>
          <w:sz w:val="17"/>
        </w:rPr>
        <w:t>market.dec_multiplier</w:t>
      </w:r>
      <w:r>
        <w:rPr>
          <w:b w:val="0"/>
          <w:i w:val="0"/>
        </w:rPr>
        <w:t>、各技术政策支持费用及核电下调附加值：</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60"/>
        <w:gridCol w:w="6132"/>
      </w:tblGrid>
      <w:tr>
        <w:trPr>
          <w:cantSplit/>
          <w:tblHeader w:val="true"/>
        </w:trPr>
        <w:tc>
          <w:tcPr>
            <w:tcW w:type="dxa" w:w="3660"/>
            <w:vAlign w:val="center"/>
            <w:tcMar>
              <w:top w:w="90" w:type="dxa"/>
              <w:left w:w="90" w:type="dxa"/>
              <w:bottom w:w="90" w:type="dxa"/>
              <w:right w:w="90" w:type="dxa"/>
            </w:tcMar>
            <w:shd w:fill="EEEEEE"/>
          </w:tcPr>
          <w:p>
            <w:pPr>
              <w:spacing w:after="40" w:line="276" w:lineRule="auto"/>
            </w:pPr>
            <w:r>
              <w:rPr>
                <w:b/>
                <w:i w:val="0"/>
                <w:sz w:val="18"/>
              </w:rPr>
              <w:t>资源</w:t>
            </w:r>
          </w:p>
        </w:tc>
        <w:tc>
          <w:tcPr>
            <w:tcW w:type="dxa" w:w="6132"/>
            <w:vAlign w:val="center"/>
            <w:tcMar>
              <w:top w:w="90" w:type="dxa"/>
              <w:left w:w="90" w:type="dxa"/>
              <w:bottom w:w="90" w:type="dxa"/>
              <w:right w:w="90" w:type="dxa"/>
            </w:tcMar>
            <w:shd w:fill="EEEEEE"/>
          </w:tcPr>
          <w:p>
            <w:pPr>
              <w:spacing w:after="40" w:line="276" w:lineRule="auto"/>
            </w:pPr>
            <w:r>
              <w:rPr>
                <w:b/>
                <w:i w:val="0"/>
                <w:sz w:val="18"/>
              </w:rPr>
              <w:t>下调价格，GBP/MWh</w:t>
            </w:r>
          </w:p>
        </w:tc>
      </w:tr>
      <w:tr>
        <w:trPr>
          <w:cantSplit/>
        </w:trPr>
        <w:tc>
          <w:tcPr>
            <w:tcW w:type="dxa" w:w="3660"/>
            <w:vAlign w:val="center"/>
            <w:tcMar>
              <w:top w:w="90" w:type="dxa"/>
              <w:left w:w="90" w:type="dxa"/>
              <w:bottom w:w="90" w:type="dxa"/>
              <w:right w:w="90" w:type="dxa"/>
            </w:tcMar>
          </w:tcPr>
          <w:p>
            <w:pPr>
              <w:spacing w:after="40" w:line="276" w:lineRule="auto"/>
            </w:pPr>
            <w:r>
              <w:rPr>
                <w:b w:val="0"/>
                <w:i w:val="0"/>
                <w:sz w:val="18"/>
              </w:rPr>
              <w:t>燃料发电</w:t>
            </w:r>
          </w:p>
        </w:tc>
        <w:tc>
          <w:tcPr>
            <w:tcW w:type="dxa" w:w="6132"/>
            <w:vAlign w:val="center"/>
            <w:tcMar>
              <w:top w:w="90" w:type="dxa"/>
              <w:left w:w="90" w:type="dxa"/>
              <w:bottom w:w="90" w:type="dxa"/>
              <w:right w:w="90" w:type="dxa"/>
            </w:tcMar>
          </w:tcPr>
          <w:p>
            <w:pPr>
              <w:spacing w:after="40" w:line="276" w:lineRule="auto"/>
            </w:pPr>
            <w:r>
              <w:rPr>
                <w:b w:val="0"/>
                <w:i w:val="0"/>
                <w:sz w:val="18"/>
              </w:rPr>
              <w:t>边际费用 × 下调倍率 − 政策支持费用</w:t>
            </w:r>
          </w:p>
        </w:tc>
      </w:tr>
      <w:tr>
        <w:trPr>
          <w:cantSplit/>
        </w:trPr>
        <w:tc>
          <w:tcPr>
            <w:tcW w:type="dxa" w:w="3660"/>
            <w:vAlign w:val="center"/>
            <w:tcMar>
              <w:top w:w="90" w:type="dxa"/>
              <w:left w:w="90" w:type="dxa"/>
              <w:bottom w:w="90" w:type="dxa"/>
              <w:right w:w="90" w:type="dxa"/>
            </w:tcMar>
          </w:tcPr>
          <w:p>
            <w:pPr>
              <w:spacing w:after="40" w:line="276" w:lineRule="auto"/>
            </w:pPr>
            <w:r>
              <w:rPr>
                <w:b w:val="0"/>
                <w:i w:val="0"/>
                <w:sz w:val="18"/>
              </w:rPr>
              <w:t>进口</w:t>
            </w:r>
          </w:p>
        </w:tc>
        <w:tc>
          <w:tcPr>
            <w:tcW w:type="dxa" w:w="6132"/>
            <w:vAlign w:val="center"/>
            <w:tcMar>
              <w:top w:w="90" w:type="dxa"/>
              <w:left w:w="90" w:type="dxa"/>
              <w:bottom w:w="90" w:type="dxa"/>
              <w:right w:w="90" w:type="dxa"/>
            </w:tcMar>
          </w:tcPr>
          <w:p>
            <w:pPr>
              <w:spacing w:after="40" w:line="276" w:lineRule="auto"/>
            </w:pPr>
            <w:r>
              <w:rPr>
                <w:b w:val="0"/>
                <w:i w:val="0"/>
                <w:sz w:val="18"/>
              </w:rPr>
              <w:t>期间进口价格 × 下调倍率</w:t>
            </w:r>
          </w:p>
        </w:tc>
      </w:tr>
      <w:tr>
        <w:trPr>
          <w:cantSplit/>
        </w:trPr>
        <w:tc>
          <w:tcPr>
            <w:tcW w:type="dxa" w:w="3660"/>
            <w:vAlign w:val="center"/>
            <w:tcMar>
              <w:top w:w="90" w:type="dxa"/>
              <w:left w:w="90" w:type="dxa"/>
              <w:bottom w:w="90" w:type="dxa"/>
              <w:right w:w="90" w:type="dxa"/>
            </w:tcMar>
          </w:tcPr>
          <w:p>
            <w:pPr>
              <w:spacing w:after="40" w:line="276" w:lineRule="auto"/>
            </w:pPr>
            <w:r>
              <w:rPr>
                <w:b w:val="0"/>
                <w:i w:val="0"/>
                <w:sz w:val="18"/>
              </w:rPr>
              <w:t>风电、光伏与径流水电</w:t>
            </w:r>
          </w:p>
        </w:tc>
        <w:tc>
          <w:tcPr>
            <w:tcW w:type="dxa" w:w="6132"/>
            <w:vAlign w:val="center"/>
            <w:tcMar>
              <w:top w:w="90" w:type="dxa"/>
              <w:left w:w="90" w:type="dxa"/>
              <w:bottom w:w="90" w:type="dxa"/>
              <w:right w:w="90" w:type="dxa"/>
            </w:tcMar>
          </w:tcPr>
          <w:p>
            <w:pPr>
              <w:spacing w:after="40" w:line="276" w:lineRule="auto"/>
            </w:pPr>
            <w:r>
              <w:rPr>
                <w:b w:val="0"/>
                <w:i w:val="0"/>
                <w:sz w:val="18"/>
              </w:rPr>
              <w:t>− 政策支持费用</w:t>
            </w:r>
          </w:p>
        </w:tc>
      </w:tr>
      <w:tr>
        <w:trPr>
          <w:cantSplit/>
        </w:trPr>
        <w:tc>
          <w:tcPr>
            <w:tcW w:type="dxa" w:w="3660"/>
            <w:vAlign w:val="center"/>
            <w:tcMar>
              <w:top w:w="90" w:type="dxa"/>
              <w:left w:w="90" w:type="dxa"/>
              <w:bottom w:w="90" w:type="dxa"/>
              <w:right w:w="90" w:type="dxa"/>
            </w:tcMar>
          </w:tcPr>
          <w:p>
            <w:pPr>
              <w:spacing w:after="40" w:line="276" w:lineRule="auto"/>
            </w:pPr>
            <w:r>
              <w:rPr>
                <w:b w:val="0"/>
                <w:i w:val="0"/>
                <w:sz w:val="18"/>
              </w:rPr>
              <w:t>核电</w:t>
            </w:r>
          </w:p>
        </w:tc>
        <w:tc>
          <w:tcPr>
            <w:tcW w:type="dxa" w:w="6132"/>
            <w:vAlign w:val="center"/>
            <w:tcMar>
              <w:top w:w="90" w:type="dxa"/>
              <w:left w:w="90" w:type="dxa"/>
              <w:bottom w:w="90" w:type="dxa"/>
              <w:right w:w="90" w:type="dxa"/>
            </w:tcMar>
          </w:tcPr>
          <w:p>
            <w:pPr>
              <w:spacing w:after="40" w:line="276" w:lineRule="auto"/>
            </w:pPr>
            <w:r>
              <w:rPr>
                <w:b w:val="0"/>
                <w:i w:val="0"/>
                <w:sz w:val="18"/>
              </w:rPr>
              <w:t>边际费用 × 下调倍率 − 政策支持费用 − 下调附加值</w:t>
            </w:r>
          </w:p>
        </w:tc>
      </w:tr>
    </w:tbl>
    <w:p>
      <w:pPr>
        <w:spacing w:after="20"/>
      </w:pPr>
    </w:p>
    <w:p>
      <w:r>
        <w:rPr>
          <w:rFonts w:ascii="DejaVu Sans Mono" w:hAnsi="DejaVu Sans Mono"/>
          <w:b w:val="0"/>
          <w:i w:val="0"/>
          <w:sz w:val="17"/>
        </w:rPr>
        <w:t>resource_dec_price</w:t>
      </w:r>
      <w:r>
        <w:rPr>
          <w:b w:val="0"/>
          <w:i w:val="0"/>
        </w:rPr>
        <w:t xml:space="preserve"> 从 </w:t>
      </w:r>
      <w:r>
        <w:rPr>
          <w:rFonts w:ascii="DejaVu Sans Mono" w:hAnsi="DejaVu Sans Mono"/>
          <w:b w:val="0"/>
          <w:i w:val="0"/>
          <w:sz w:val="17"/>
        </w:rPr>
        <w:t>market.policy_​support_​gbp_​per_​mwh_​by_​technology</w:t>
      </w:r>
      <w:r>
        <w:rPr>
          <w:b w:val="0"/>
          <w:i w:val="0"/>
        </w:rPr>
        <w:t xml:space="preserve"> 读取政策支持费用，默认取零；从 </w:t>
      </w:r>
      <w:r>
        <w:rPr>
          <w:rFonts w:ascii="DejaVu Sans Mono" w:hAnsi="DejaVu Sans Mono"/>
          <w:b w:val="0"/>
          <w:i w:val="0"/>
          <w:sz w:val="17"/>
        </w:rPr>
        <w:t>network.inflexible_​dec_​premium_​gbp_​per_​mwh_​by_​technology</w:t>
      </w:r>
      <w:r>
        <w:rPr>
          <w:b w:val="0"/>
          <w:i w:val="0"/>
        </w:rPr>
        <w:t xml:space="preserve"> 读取附加值，核电默认 100 GBP/MWh。燃气和生物质将计划 MWh 拆成 </w:t>
      </w:r>
      <w:r>
        <w:rPr>
          <w:rFonts w:ascii="DejaVu Sans Mono" w:hAnsi="DejaVu Sans Mono"/>
          <w:b w:val="0"/>
          <w:i w:val="0"/>
          <w:sz w:val="17"/>
        </w:rPr>
        <w:t>running_mwh</w:t>
      </w:r>
      <w:r>
        <w:rPr>
          <w:b w:val="0"/>
          <w:i w:val="0"/>
        </w:rPr>
        <w:t xml:space="preserve"> 与 </w:t>
      </w:r>
      <w:r>
        <w:rPr>
          <w:rFonts w:ascii="DejaVu Sans Mono" w:hAnsi="DejaVu Sans Mono"/>
          <w:b w:val="0"/>
          <w:i w:val="0"/>
          <w:sz w:val="17"/>
        </w:rPr>
        <w:t>shutdown_mwh</w:t>
      </w:r>
      <w:r>
        <w:rPr>
          <w:b w:val="0"/>
          <w:i w:val="0"/>
        </w:rPr>
        <w:t xml:space="preserve">，后者等于计划量乘 </w:t>
      </w:r>
      <w:r>
        <w:rPr>
          <w:rFonts w:ascii="DejaVu Sans Mono" w:hAnsi="DejaVu Sans Mono"/>
          <w:b w:val="0"/>
          <w:i w:val="0"/>
          <w:sz w:val="17"/>
        </w:rPr>
        <w:t>min_stable_fraction</w:t>
      </w:r>
      <w:r>
        <w:rPr>
          <w:b w:val="0"/>
          <w:i w:val="0"/>
        </w:rPr>
        <w:t>。</w:t>
      </w:r>
      <w:r>
        <w:rPr>
          <w:rFonts w:ascii="DejaVu Sans Mono" w:hAnsi="DejaVu Sans Mono"/>
          <w:b w:val="0"/>
          <w:i w:val="0"/>
          <w:sz w:val="17"/>
        </w:rPr>
        <w:t>thermal_dec_segments</w:t>
      </w:r>
      <w:r>
        <w:rPr>
          <w:b w:val="0"/>
          <w:i w:val="0"/>
        </w:rPr>
        <w:t xml:space="preserve"> 保留不停机段价格，并按第 5 章的 </w:t>
      </w:r>
      <w:r>
        <w:rPr>
          <w:rFonts w:ascii="DejaVu Sans Mono" w:hAnsi="DejaVu Sans Mono"/>
          <w:b w:val="0"/>
          <w:i w:val="0"/>
          <w:sz w:val="17"/>
        </w:rPr>
        <w:t>net_saving</w:t>
      </w:r>
      <w:r>
        <w:rPr>
          <w:b w:val="0"/>
          <w:i w:val="0"/>
        </w:rPr>
        <w:t xml:space="preserve"> 和重启参数表给停机段定价。预计停机时间计入当前期以及随后连续由声明风光和核电可用量覆盖预测需求的时段，每期长度为 </w:t>
      </w:r>
      <w:r>
        <w:rPr>
          <w:rFonts w:ascii="DejaVu Sans Mono" w:hAnsi="DejaVu Sans Mono"/>
          <w:b w:val="0"/>
          <w:i w:val="0"/>
          <w:sz w:val="17"/>
        </w:rPr>
        <w:t>period_hours</w:t>
      </w:r>
      <w:r>
        <w:rPr>
          <w:b w:val="0"/>
          <w:i w:val="0"/>
        </w:rPr>
        <w:t xml:space="preserve">。短于 </w:t>
      </w:r>
      <w:r>
        <w:rPr>
          <w:rFonts w:ascii="DejaVu Sans Mono" w:hAnsi="DejaVu Sans Mono"/>
          <w:b w:val="0"/>
          <w:i w:val="0"/>
          <w:sz w:val="17"/>
        </w:rPr>
        <w:t>min_down_time_h</w:t>
      </w:r>
      <w:r>
        <w:rPr>
          <w:b w:val="0"/>
          <w:i w:val="0"/>
        </w:rPr>
        <w:t xml:space="preserve"> 的停机段，其价格取净节省和低于其他全部下调价格档 0.01 GBP/MWh 的数值中较小者。</w:t>
      </w:r>
    </w:p>
    <w:p>
      <w:r>
        <w:rPr>
          <w:b w:val="0"/>
          <w:i w:val="0"/>
        </w:rPr>
        <w:t>储能调整报价覆盖从计划放电到最终放电或充电的变化。</w:t>
      </w:r>
      <w:r>
        <w:rPr>
          <w:rFonts w:ascii="DejaVu Sans Mono" w:hAnsi="DejaVu Sans Mono"/>
          <w:b w:val="0"/>
          <w:i w:val="0"/>
          <w:sz w:val="17"/>
        </w:rPr>
        <w:t>maximum_discharge</w:t>
      </w:r>
      <w:r>
        <w:rPr>
          <w:b w:val="0"/>
          <w:i w:val="0"/>
        </w:rPr>
        <w:t xml:space="preserve"> 取 </w:t>
      </w:r>
      <w:r>
        <w:rPr>
          <w:rFonts w:ascii="DejaVu Sans Mono" w:hAnsi="DejaVu Sans Mono"/>
          <w:b w:val="0"/>
          <w:i w:val="0"/>
          <w:sz w:val="17"/>
        </w:rPr>
        <w:t>discharge_power_mw * period_hours</w:t>
      </w:r>
      <w:r>
        <w:rPr>
          <w:b w:val="0"/>
          <w:i w:val="0"/>
        </w:rPr>
        <w:t xml:space="preserve"> 与 </w:t>
      </w:r>
      <w:r>
        <w:rPr>
          <w:rFonts w:ascii="DejaVu Sans Mono" w:hAnsi="DejaVu Sans Mono"/>
          <w:b w:val="0"/>
          <w:i w:val="0"/>
          <w:sz w:val="17"/>
        </w:rPr>
        <w:t>soc * discharge_efficiency</w:t>
      </w:r>
      <w:r>
        <w:rPr>
          <w:b w:val="0"/>
          <w:i w:val="0"/>
        </w:rPr>
        <w:t xml:space="preserve"> 的较小值，上调量为 </w:t>
      </w:r>
      <w:r>
        <w:rPr>
          <w:rFonts w:ascii="DejaVu Sans Mono" w:hAnsi="DejaVu Sans Mono"/>
          <w:b w:val="0"/>
          <w:i w:val="0"/>
          <w:sz w:val="17"/>
        </w:rPr>
        <w:t>max(maximum_discharge - scheduled, 0)</w:t>
      </w:r>
      <w:r>
        <w:rPr>
          <w:b w:val="0"/>
          <w:i w:val="0"/>
        </w:rPr>
        <w:t>。下调量为计划 MWh 加上时段充电功率限额与剩余内部容量除以充电效率的较小值。</w:t>
      </w:r>
      <w:r>
        <w:rPr>
          <w:rFonts w:ascii="DejaVu Sans Mono" w:hAnsi="DejaVu Sans Mono"/>
          <w:b w:val="0"/>
          <w:i w:val="0"/>
          <w:sz w:val="17"/>
        </w:rPr>
        <w:t>storage_dec_price</w:t>
      </w:r>
      <w:r>
        <w:rPr>
          <w:b w:val="0"/>
          <w:i w:val="0"/>
        </w:rPr>
        <w:t xml:space="preserve"> 取储能上调价格、该价格乘往返效率、期间最低可用上调价格三者中的最小值；期间存在上调报价时才使用第三项。声明的出口限额另形成下调取电报价，价格取出口价格的非负部分。</w:t>
      </w:r>
    </w:p>
    <w:p>
      <w:r>
        <w:rPr>
          <w:b w:val="0"/>
          <w:i w:val="0"/>
        </w:rPr>
        <w:t xml:space="preserve">储能从 </w:t>
      </w:r>
      <w:r>
        <w:rPr>
          <w:rFonts w:ascii="DejaVu Sans Mono" w:hAnsi="DejaVu Sans Mono"/>
          <w:b w:val="0"/>
          <w:i w:val="0"/>
          <w:sz w:val="17"/>
        </w:rPr>
        <w:t>initial_soc_mwh</w:t>
      </w:r>
      <w:r>
        <w:rPr>
          <w:b w:val="0"/>
          <w:i w:val="0"/>
        </w:rPr>
        <w:t xml:space="preserve"> 开始，每期求解后的库存成为下一期初值。发电遵循逐期可用量与下文接纳调整量的边界。算法沿给定时序逐期计算，返回最终注入、充电、放电、库存、走廊流量、未满足需求与结算。</w:t>
      </w:r>
    </w:p>
    <w:p>
      <w:pPr>
        <w:pStyle w:val="Heading2"/>
      </w:pPr>
      <w:r>
        <w:rPr>
          <w:b w:val="0"/>
          <w:i w:val="0"/>
        </w:rPr>
        <w:t>调整目标与运行约束</w:t>
      </w:r>
    </w:p>
    <w:p>
      <w:r>
        <w:rPr>
          <w:b w:val="0"/>
          <w:i w:val="0"/>
        </w:rPr>
        <w:t>再调度依次求解四个线性目标：包含缺电费用的报价支出、调整电量、加权物理吞吐和固定变量顺序。</w:t>
      </w:r>
      <w:r>
        <w:rPr>
          <w:rFonts w:ascii="DejaVu Sans Mono" w:hAnsi="DejaVu Sans Mono"/>
          <w:b w:val="0"/>
          <w:i w:val="0"/>
          <w:sz w:val="17"/>
        </w:rPr>
        <w:t>SinglePeriodProblem</w:t>
      </w:r>
      <w:r>
        <w:rPr>
          <w:b w:val="0"/>
          <w:i w:val="0"/>
        </w:rPr>
        <w:t xml:space="preserve"> 将目标系数数组记为 </w:t>
      </w:r>
      <w:r>
        <w:rPr>
          <w:rFonts w:ascii="DejaVu Sans Mono" w:hAnsi="DejaVu Sans Mono"/>
          <w:b w:val="0"/>
          <w:i w:val="0"/>
          <w:sz w:val="17"/>
        </w:rPr>
        <w:t>primary_objective</w:t>
      </w:r>
      <w:r>
        <w:rPr>
          <w:b w:val="0"/>
          <w:i w:val="0"/>
        </w:rPr>
        <w:t>、</w:t>
      </w:r>
      <w:r>
        <w:rPr>
          <w:rFonts w:ascii="DejaVu Sans Mono" w:hAnsi="DejaVu Sans Mono"/>
          <w:b w:val="0"/>
          <w:i w:val="0"/>
          <w:sz w:val="17"/>
        </w:rPr>
        <w:t>secondary_objective</w:t>
      </w:r>
      <w:r>
        <w:rPr>
          <w:b w:val="0"/>
          <w:i w:val="0"/>
        </w:rPr>
        <w:t>、</w:t>
      </w:r>
      <w:r>
        <w:rPr>
          <w:rFonts w:ascii="DejaVu Sans Mono" w:hAnsi="DejaVu Sans Mono"/>
          <w:b w:val="0"/>
          <w:i w:val="0"/>
          <w:sz w:val="17"/>
        </w:rPr>
        <w:t>physical_tie_objective</w:t>
      </w:r>
      <w:r>
        <w:rPr>
          <w:b w:val="0"/>
          <w:i w:val="0"/>
        </w:rPr>
        <w:t xml:space="preserve"> 和 </w:t>
      </w:r>
      <w:r>
        <w:rPr>
          <w:rFonts w:ascii="DejaVu Sans Mono" w:hAnsi="DejaVu Sans Mono"/>
          <w:b w:val="0"/>
          <w:i w:val="0"/>
          <w:sz w:val="17"/>
        </w:rPr>
        <w:t>stable_tie_objective</w:t>
      </w:r>
      <w:r>
        <w:rPr>
          <w:b w:val="0"/>
          <w:i w:val="0"/>
        </w:rPr>
        <w:t xml:space="preserve">。各目标值为对应数组与期间决策向量 </w:t>
      </w:r>
      <w:r>
        <w:rPr>
          <w:rFonts w:ascii="DejaVu Sans Mono" w:hAnsi="DejaVu Sans Mono"/>
          <w:b w:val="0"/>
          <w:i w:val="0"/>
          <w:sz w:val="17"/>
        </w:rPr>
        <w:t>values</w:t>
      </w:r>
      <w:r>
        <w:rPr>
          <w:b w:val="0"/>
          <w:i w:val="0"/>
        </w:rPr>
        <w:t xml:space="preserve"> 的内积，后者由 </w:t>
      </w:r>
      <w:r>
        <w:rPr>
          <w:rFonts w:ascii="DejaVu Sans Mono" w:hAnsi="DejaVu Sans Mono"/>
          <w:b w:val="0"/>
          <w:i w:val="0"/>
          <w:sz w:val="17"/>
        </w:rPr>
        <w:t>solve_lexicographic</w:t>
      </w:r>
      <w:r>
        <w:rPr>
          <w:b w:val="0"/>
          <w:i w:val="0"/>
        </w:rPr>
        <w:t xml:space="preserve"> 返回。</w:t>
      </w:r>
    </w:p>
    <w:p>
      <w:r>
        <w:rPr>
          <w:b w:val="0"/>
          <w:i w:val="0"/>
        </w:rPr>
        <w:t>决策向量采用实现中的变量标签。</w:t>
      </w:r>
      <w:r>
        <w:rPr>
          <w:rFonts w:ascii="DejaVu Sans Mono" w:hAnsi="DejaVu Sans Mono"/>
          <w:b w:val="0"/>
          <w:i w:val="0"/>
          <w:sz w:val="17"/>
        </w:rPr>
        <w:t>bid:&lt;bid_id&gt;</w:t>
      </w:r>
      <w:r>
        <w:rPr>
          <w:b w:val="0"/>
          <w:i w:val="0"/>
        </w:rPr>
        <w:t xml:space="preserve"> 为非负接纳报价电量，</w:t>
      </w:r>
      <w:r>
        <w:rPr>
          <w:rFonts w:ascii="DejaVu Sans Mono" w:hAnsi="DejaVu Sans Mono"/>
          <w:b w:val="0"/>
          <w:i w:val="0"/>
          <w:sz w:val="17"/>
        </w:rPr>
        <w:t>flow:&lt;corridor_id&gt;</w:t>
      </w:r>
      <w:r>
        <w:rPr>
          <w:b w:val="0"/>
          <w:i w:val="0"/>
        </w:rPr>
        <w:t xml:space="preserve"> 为带方向走廊电量，</w:t>
      </w:r>
      <w:r>
        <w:rPr>
          <w:rFonts w:ascii="DejaVu Sans Mono" w:hAnsi="DejaVu Sans Mono"/>
          <w:b w:val="0"/>
          <w:i w:val="0"/>
          <w:sz w:val="17"/>
        </w:rPr>
        <w:t>load-shedding:&lt;zone_id&gt;</w:t>
      </w:r>
      <w:r>
        <w:rPr>
          <w:b w:val="0"/>
          <w:i w:val="0"/>
        </w:rPr>
        <w:t xml:space="preserve"> 为未满足需求，</w:t>
      </w:r>
      <w:r>
        <w:rPr>
          <w:rFonts w:ascii="DejaVu Sans Mono" w:hAnsi="DejaVu Sans Mono"/>
          <w:b w:val="0"/>
          <w:i w:val="0"/>
          <w:sz w:val="17"/>
        </w:rPr>
        <w:t>storage-charge:&lt;asset_​id&gt;</w:t>
      </w:r>
      <w:r>
        <w:rPr>
          <w:b w:val="0"/>
          <w:i w:val="0"/>
        </w:rPr>
        <w:t xml:space="preserve"> 与 </w:t>
      </w:r>
      <w:r>
        <w:rPr>
          <w:rFonts w:ascii="DejaVu Sans Mono" w:hAnsi="DejaVu Sans Mono"/>
          <w:b w:val="0"/>
          <w:i w:val="0"/>
          <w:sz w:val="17"/>
        </w:rPr>
        <w:t>storage-discharge:&lt;asset_​id&gt;</w:t>
      </w:r>
      <w:r>
        <w:rPr>
          <w:b w:val="0"/>
          <w:i w:val="0"/>
        </w:rPr>
        <w:t xml:space="preserve"> 为电网侧充放电量，</w:t>
      </w:r>
      <w:r>
        <w:rPr>
          <w:rFonts w:ascii="DejaVu Sans Mono" w:hAnsi="DejaVu Sans Mono"/>
          <w:b w:val="0"/>
          <w:i w:val="0"/>
          <w:sz w:val="17"/>
        </w:rPr>
        <w:t>absolute-flow:&lt;corridor_​id&gt;</w:t>
      </w:r>
      <w:r>
        <w:rPr>
          <w:b w:val="0"/>
          <w:i w:val="0"/>
        </w:rPr>
        <w:t xml:space="preserve"> 限制走廊绝对流量，单位均为 MWh。公式的数组下标保留这些已有标识。</w:t>
      </w:r>
    </w:p>
    <w:p>
      <w:pPr>
        <w:keepNext/>
      </w:pPr>
      <w:r>
        <w:rPr>
          <w:b w:val="0"/>
          <w:i w:val="0"/>
        </w:rPr>
        <w:t xml:space="preserve">第一目标按报价方向计算支出。上调量乘 </w:t>
      </w:r>
      <w:r>
        <w:rPr>
          <w:rFonts w:ascii="DejaVu Sans Mono" w:hAnsi="DejaVu Sans Mono"/>
          <w:b w:val="0"/>
          <w:i w:val="0"/>
          <w:sz w:val="17"/>
        </w:rPr>
        <w:t>price_gbp_per_mwh</w:t>
      </w:r>
      <w:r>
        <w:rPr>
          <w:b w:val="0"/>
          <w:i w:val="0"/>
        </w:rPr>
        <w:t xml:space="preserve">，下调量取该乘积的相反数；缺电量乘 </w:t>
      </w:r>
      <w:r>
        <w:rPr>
          <w:rFonts w:ascii="DejaVu Sans Mono" w:hAnsi="DejaVu Sans Mono"/>
          <w:b w:val="0"/>
          <w:i w:val="0"/>
          <w:sz w:val="17"/>
        </w:rPr>
        <w:t>voll_gbp_per_mwh</w:t>
      </w:r>
      <w:r>
        <w:rPr>
          <w:b w:val="0"/>
          <w:i w:val="0"/>
        </w:rPr>
        <w:t>，默认值为 17,000 GBP/MWh：</w:t>
      </w:r>
    </w:p>
    <w:p>
      <w:pPr>
        <w:spacing w:after="160"/>
        <w:jc w:val="center"/>
      </w:pPr>
      <w:r>
        <w:drawing>
          <wp:inline xmlns:a="http://schemas.openxmlformats.org/drawingml/2006/main" xmlns:pic="http://schemas.openxmlformats.org/drawingml/2006/picture">
            <wp:extent cx="5911519" cy="1243568"/>
            <wp:docPr id="113" name="Picture 113"/>
            <wp:cNvGraphicFramePr>
              <a:graphicFrameLocks noChangeAspect="1"/>
            </wp:cNvGraphicFramePr>
            <a:graphic>
              <a:graphicData uri="http://schemas.openxmlformats.org/drawingml/2006/picture">
                <pic:pic>
                  <pic:nvPicPr>
                    <pic:cNvPr id="0" name="eq-113.png"/>
                    <pic:cNvPicPr/>
                  </pic:nvPicPr>
                  <pic:blipFill>
                    <a:blip r:embed="rId117"/>
                    <a:stretch>
                      <a:fillRect/>
                    </a:stretch>
                  </pic:blipFill>
                  <pic:spPr>
                    <a:xfrm>
                      <a:off x="0" y="0"/>
                      <a:ext cx="5911519" cy="1243568"/>
                    </a:xfrm>
                    <a:prstGeom prst="rect"/>
                  </pic:spPr>
                </pic:pic>
              </a:graphicData>
            </a:graphic>
          </wp:inline>
        </w:drawing>
      </w:r>
    </w:p>
    <w:p>
      <w:r>
        <w:rPr>
          <w:b w:val="0"/>
          <w:i w:val="0"/>
        </w:rPr>
        <w:t>第二目标合计接纳报价电量与缺电量。第三目标对充电、放电和走廊绝对电量赋权 1，再加非储能下调报价的类别权重。</w:t>
      </w:r>
      <w:r>
        <w:rPr>
          <w:rFonts w:ascii="DejaVu Sans Mono" w:hAnsi="DejaVu Sans Mono"/>
          <w:b w:val="0"/>
          <w:i w:val="0"/>
          <w:sz w:val="17"/>
        </w:rPr>
        <w:t>physical_dec_weight</w:t>
      </w:r>
      <w:r>
        <w:rPr>
          <w:b w:val="0"/>
          <w:i w:val="0"/>
        </w:rPr>
        <w:t xml:space="preserve"> 提供下表权重，</w:t>
      </w:r>
      <w:r>
        <w:rPr>
          <w:rFonts w:ascii="DejaVu Sans Mono" w:hAnsi="DejaVu Sans Mono"/>
          <w:b w:val="0"/>
          <w:i w:val="0"/>
          <w:sz w:val="17"/>
        </w:rPr>
        <w:t>bid_dec_rank</w:t>
      </w:r>
      <w:r>
        <w:rPr>
          <w:b w:val="0"/>
          <w:i w:val="0"/>
        </w:rPr>
        <w:t xml:space="preserve"> 选择类别：</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030"/>
        <w:gridCol w:w="2762"/>
      </w:tblGrid>
      <w:tr>
        <w:trPr>
          <w:cantSplit/>
          <w:tblHeader w:val="true"/>
        </w:trPr>
        <w:tc>
          <w:tcPr>
            <w:tcW w:type="dxa" w:w="7030"/>
            <w:vAlign w:val="center"/>
            <w:tcMar>
              <w:top w:w="90" w:type="dxa"/>
              <w:left w:w="90" w:type="dxa"/>
              <w:bottom w:w="90" w:type="dxa"/>
              <w:right w:w="90" w:type="dxa"/>
            </w:tcMar>
            <w:shd w:fill="EEEEEE"/>
          </w:tcPr>
          <w:p>
            <w:pPr>
              <w:spacing w:after="40" w:line="276" w:lineRule="auto"/>
            </w:pPr>
            <w:r>
              <w:rPr>
                <w:b/>
                <w:i w:val="0"/>
                <w:sz w:val="18"/>
              </w:rPr>
              <w:t>下调类别</w:t>
            </w:r>
          </w:p>
        </w:tc>
        <w:tc>
          <w:tcPr>
            <w:tcW w:type="dxa" w:w="2762"/>
            <w:vAlign w:val="center"/>
            <w:tcMar>
              <w:top w:w="90" w:type="dxa"/>
              <w:left w:w="90" w:type="dxa"/>
              <w:bottom w:w="90" w:type="dxa"/>
              <w:right w:w="90" w:type="dxa"/>
            </w:tcMar>
            <w:shd w:fill="EEEEEE"/>
          </w:tcPr>
          <w:p>
            <w:pPr>
              <w:spacing w:after="40" w:line="276" w:lineRule="auto"/>
            </w:pPr>
            <w:r>
              <w:rPr>
                <w:b/>
                <w:i w:val="0"/>
                <w:sz w:val="18"/>
              </w:rPr>
              <w:t>权重</w:t>
            </w:r>
          </w:p>
        </w:tc>
      </w:tr>
      <w:tr>
        <w:trPr>
          <w:cantSplit/>
        </w:trPr>
        <w:tc>
          <w:tcPr>
            <w:tcW w:type="dxa" w:w="7030"/>
            <w:vAlign w:val="center"/>
            <w:tcMar>
              <w:top w:w="90" w:type="dxa"/>
              <w:left w:w="90" w:type="dxa"/>
              <w:bottom w:w="90" w:type="dxa"/>
              <w:right w:w="90" w:type="dxa"/>
            </w:tcMar>
          </w:tcPr>
          <w:p>
            <w:pPr>
              <w:spacing w:after="40" w:line="276" w:lineRule="auto"/>
            </w:pPr>
            <w:r>
              <w:rPr>
                <w:b w:val="0"/>
                <w:i w:val="0"/>
                <w:sz w:val="18"/>
              </w:rPr>
              <w:t>燃料机组不停机段</w:t>
            </w:r>
          </w:p>
        </w:tc>
        <w:tc>
          <w:tcPr>
            <w:tcW w:type="dxa" w:w="2762"/>
            <w:vAlign w:val="center"/>
            <w:tcMar>
              <w:top w:w="90" w:type="dxa"/>
              <w:left w:w="90" w:type="dxa"/>
              <w:bottom w:w="90" w:type="dxa"/>
              <w:right w:w="90" w:type="dxa"/>
            </w:tcMar>
          </w:tcPr>
          <w:p>
            <w:pPr>
              <w:spacing w:after="40" w:line="276" w:lineRule="auto"/>
            </w:pPr>
            <w:r>
              <w:rPr>
                <w:b w:val="0"/>
                <w:i w:val="0"/>
                <w:sz w:val="18"/>
              </w:rPr>
              <w:t>0</w:t>
            </w:r>
          </w:p>
        </w:tc>
      </w:tr>
      <w:tr>
        <w:trPr>
          <w:cantSplit/>
        </w:trPr>
        <w:tc>
          <w:tcPr>
            <w:tcW w:type="dxa" w:w="7030"/>
            <w:vAlign w:val="center"/>
            <w:tcMar>
              <w:top w:w="90" w:type="dxa"/>
              <w:left w:w="90" w:type="dxa"/>
              <w:bottom w:w="90" w:type="dxa"/>
              <w:right w:w="90" w:type="dxa"/>
            </w:tcMar>
          </w:tcPr>
          <w:p>
            <w:pPr>
              <w:spacing w:after="40" w:line="276" w:lineRule="auto"/>
            </w:pPr>
            <w:r>
              <w:rPr>
                <w:b w:val="0"/>
                <w:i w:val="0"/>
                <w:sz w:val="18"/>
              </w:rPr>
              <w:t>进口</w:t>
            </w:r>
          </w:p>
        </w:tc>
        <w:tc>
          <w:tcPr>
            <w:tcW w:type="dxa" w:w="2762"/>
            <w:vAlign w:val="center"/>
            <w:tcMar>
              <w:top w:w="90" w:type="dxa"/>
              <w:left w:w="90" w:type="dxa"/>
              <w:bottom w:w="90" w:type="dxa"/>
              <w:right w:w="90" w:type="dxa"/>
            </w:tcMar>
          </w:tcPr>
          <w:p>
            <w:pPr>
              <w:spacing w:after="40" w:line="276" w:lineRule="auto"/>
            </w:pPr>
            <w:r>
              <w:rPr>
                <w:b w:val="0"/>
                <w:i w:val="0"/>
                <w:sz w:val="18"/>
              </w:rPr>
              <w:t>0.5</w:t>
            </w:r>
          </w:p>
        </w:tc>
      </w:tr>
      <w:tr>
        <w:trPr>
          <w:cantSplit/>
        </w:trPr>
        <w:tc>
          <w:tcPr>
            <w:tcW w:type="dxa" w:w="7030"/>
            <w:vAlign w:val="center"/>
            <w:tcMar>
              <w:top w:w="90" w:type="dxa"/>
              <w:left w:w="90" w:type="dxa"/>
              <w:bottom w:w="90" w:type="dxa"/>
              <w:right w:w="90" w:type="dxa"/>
            </w:tcMar>
          </w:tcPr>
          <w:p>
            <w:pPr>
              <w:spacing w:after="40" w:line="276" w:lineRule="auto"/>
            </w:pPr>
            <w:r>
              <w:rPr>
                <w:b w:val="0"/>
                <w:i w:val="0"/>
                <w:sz w:val="18"/>
              </w:rPr>
              <w:t>径流水电</w:t>
            </w:r>
          </w:p>
        </w:tc>
        <w:tc>
          <w:tcPr>
            <w:tcW w:type="dxa" w:w="2762"/>
            <w:vAlign w:val="center"/>
            <w:tcMar>
              <w:top w:w="90" w:type="dxa"/>
              <w:left w:w="90" w:type="dxa"/>
              <w:bottom w:w="90" w:type="dxa"/>
              <w:right w:w="90" w:type="dxa"/>
            </w:tcMar>
          </w:tcPr>
          <w:p>
            <w:pPr>
              <w:spacing w:after="40" w:line="276" w:lineRule="auto"/>
            </w:pPr>
            <w:r>
              <w:rPr>
                <w:b w:val="0"/>
                <w:i w:val="0"/>
                <w:sz w:val="18"/>
              </w:rPr>
              <w:t>2</w:t>
            </w:r>
          </w:p>
        </w:tc>
      </w:tr>
      <w:tr>
        <w:trPr>
          <w:cantSplit/>
        </w:trPr>
        <w:tc>
          <w:tcPr>
            <w:tcW w:type="dxa" w:w="7030"/>
            <w:vAlign w:val="center"/>
            <w:tcMar>
              <w:top w:w="90" w:type="dxa"/>
              <w:left w:w="90" w:type="dxa"/>
              <w:bottom w:w="90" w:type="dxa"/>
              <w:right w:w="90" w:type="dxa"/>
            </w:tcMar>
          </w:tcPr>
          <w:p>
            <w:pPr>
              <w:spacing w:after="40" w:line="276" w:lineRule="auto"/>
            </w:pPr>
            <w:r>
              <w:rPr>
                <w:b w:val="0"/>
                <w:i w:val="0"/>
                <w:sz w:val="18"/>
              </w:rPr>
              <w:t>风电和光伏</w:t>
            </w:r>
          </w:p>
        </w:tc>
        <w:tc>
          <w:tcPr>
            <w:tcW w:type="dxa" w:w="2762"/>
            <w:vAlign w:val="center"/>
            <w:tcMar>
              <w:top w:w="90" w:type="dxa"/>
              <w:left w:w="90" w:type="dxa"/>
              <w:bottom w:w="90" w:type="dxa"/>
              <w:right w:w="90" w:type="dxa"/>
            </w:tcMar>
          </w:tcPr>
          <w:p>
            <w:pPr>
              <w:spacing w:after="40" w:line="276" w:lineRule="auto"/>
            </w:pPr>
            <w:r>
              <w:rPr>
                <w:b w:val="0"/>
                <w:i w:val="0"/>
                <w:sz w:val="18"/>
              </w:rPr>
              <w:t>3</w:t>
            </w:r>
          </w:p>
        </w:tc>
      </w:tr>
      <w:tr>
        <w:trPr>
          <w:cantSplit/>
        </w:trPr>
        <w:tc>
          <w:tcPr>
            <w:tcW w:type="dxa" w:w="7030"/>
            <w:vAlign w:val="center"/>
            <w:tcMar>
              <w:top w:w="90" w:type="dxa"/>
              <w:left w:w="90" w:type="dxa"/>
              <w:bottom w:w="90" w:type="dxa"/>
              <w:right w:w="90" w:type="dxa"/>
            </w:tcMar>
          </w:tcPr>
          <w:p>
            <w:pPr>
              <w:spacing w:after="40" w:line="276" w:lineRule="auto"/>
            </w:pPr>
            <w:r>
              <w:rPr>
                <w:b w:val="0"/>
                <w:i w:val="0"/>
                <w:sz w:val="18"/>
              </w:rPr>
              <w:t>燃料机组停机段</w:t>
            </w:r>
          </w:p>
        </w:tc>
        <w:tc>
          <w:tcPr>
            <w:tcW w:type="dxa" w:w="2762"/>
            <w:vAlign w:val="center"/>
            <w:tcMar>
              <w:top w:w="90" w:type="dxa"/>
              <w:left w:w="90" w:type="dxa"/>
              <w:bottom w:w="90" w:type="dxa"/>
              <w:right w:w="90" w:type="dxa"/>
            </w:tcMar>
          </w:tcPr>
          <w:p>
            <w:pPr>
              <w:spacing w:after="40" w:line="276" w:lineRule="auto"/>
            </w:pPr>
            <w:r>
              <w:rPr>
                <w:b w:val="0"/>
                <w:i w:val="0"/>
                <w:sz w:val="18"/>
              </w:rPr>
              <w:t>3.5</w:t>
            </w:r>
          </w:p>
        </w:tc>
      </w:tr>
      <w:tr>
        <w:trPr>
          <w:cantSplit/>
        </w:trPr>
        <w:tc>
          <w:tcPr>
            <w:tcW w:type="dxa" w:w="7030"/>
            <w:vAlign w:val="center"/>
            <w:tcMar>
              <w:top w:w="90" w:type="dxa"/>
              <w:left w:w="90" w:type="dxa"/>
              <w:bottom w:w="90" w:type="dxa"/>
              <w:right w:w="90" w:type="dxa"/>
            </w:tcMar>
          </w:tcPr>
          <w:p>
            <w:pPr>
              <w:spacing w:after="40" w:line="276" w:lineRule="auto"/>
            </w:pPr>
            <w:r>
              <w:rPr>
                <w:b w:val="0"/>
                <w:i w:val="0"/>
                <w:sz w:val="18"/>
              </w:rPr>
              <w:t>核电</w:t>
            </w:r>
          </w:p>
        </w:tc>
        <w:tc>
          <w:tcPr>
            <w:tcW w:type="dxa" w:w="2762"/>
            <w:vAlign w:val="center"/>
            <w:tcMar>
              <w:top w:w="90" w:type="dxa"/>
              <w:left w:w="90" w:type="dxa"/>
              <w:bottom w:w="90" w:type="dxa"/>
              <w:right w:w="90" w:type="dxa"/>
            </w:tcMar>
          </w:tcPr>
          <w:p>
            <w:pPr>
              <w:spacing w:after="40" w:line="276" w:lineRule="auto"/>
            </w:pPr>
            <w:r>
              <w:rPr>
                <w:b w:val="0"/>
                <w:i w:val="0"/>
                <w:sz w:val="18"/>
              </w:rPr>
              <w:t>4</w:t>
            </w:r>
          </w:p>
        </w:tc>
      </w:tr>
      <w:tr>
        <w:trPr>
          <w:cantSplit/>
        </w:trPr>
        <w:tc>
          <w:tcPr>
            <w:tcW w:type="dxa" w:w="7030"/>
            <w:vAlign w:val="center"/>
            <w:tcMar>
              <w:top w:w="90" w:type="dxa"/>
              <w:left w:w="90" w:type="dxa"/>
              <w:bottom w:w="90" w:type="dxa"/>
              <w:right w:w="90" w:type="dxa"/>
            </w:tcMar>
          </w:tcPr>
          <w:p>
            <w:pPr>
              <w:spacing w:after="40" w:line="276" w:lineRule="auto"/>
            </w:pPr>
            <w:r>
              <w:rPr>
                <w:b w:val="0"/>
                <w:i w:val="0"/>
                <w:sz w:val="18"/>
              </w:rPr>
              <w:t>短于最小停机时间的燃料机组停机段</w:t>
            </w:r>
          </w:p>
        </w:tc>
        <w:tc>
          <w:tcPr>
            <w:tcW w:type="dxa" w:w="2762"/>
            <w:vAlign w:val="center"/>
            <w:tcMar>
              <w:top w:w="90" w:type="dxa"/>
              <w:left w:w="90" w:type="dxa"/>
              <w:bottom w:w="90" w:type="dxa"/>
              <w:right w:w="90" w:type="dxa"/>
            </w:tcMar>
          </w:tcPr>
          <w:p>
            <w:pPr>
              <w:spacing w:after="40" w:line="276" w:lineRule="auto"/>
            </w:pPr>
            <w:r>
              <w:rPr>
                <w:b w:val="0"/>
                <w:i w:val="0"/>
                <w:sz w:val="18"/>
              </w:rPr>
              <w:t>5</w:t>
            </w:r>
          </w:p>
        </w:tc>
      </w:tr>
    </w:tbl>
    <w:p>
      <w:pPr>
        <w:spacing w:after="20"/>
      </w:pPr>
    </w:p>
    <w:p>
      <w:r>
        <w:rPr>
          <w:b w:val="0"/>
          <w:i w:val="0"/>
        </w:rPr>
        <w:t>同一区域内，第一目标价格完全相同时，储能充电先于径流水电、风光及核电下调；燃料机组停机段位于风光之后、核电之前。跨区时，类别权重同时与走廊流量竞争。第一目标采用原始价格。第四目标按报价、走廊、区域和储能标识的固定顺序，依次给变量赋权 1、2、……。</w:t>
      </w:r>
    </w:p>
    <w:p>
      <w:pPr>
        <w:keepNext/>
      </w:pPr>
      <w:r>
        <w:rPr>
          <w:b w:val="0"/>
          <w:i w:val="0"/>
        </w:rPr>
        <w:t>资产最终注入等于日前计划加接纳的带方向调整。</w:t>
      </w:r>
      <w:r>
        <w:rPr>
          <w:rFonts w:ascii="DejaVu Sans Mono" w:hAnsi="DejaVu Sans Mono"/>
          <w:b w:val="0"/>
          <w:i w:val="0"/>
          <w:sz w:val="17"/>
        </w:rPr>
        <w:t>final_​dispatch_​mwh_​by_​asset</w:t>
      </w:r>
      <w:r>
        <w:rPr>
          <w:b w:val="0"/>
          <w:i w:val="0"/>
        </w:rPr>
        <w:t xml:space="preserve"> 与 </w:t>
      </w:r>
      <w:r>
        <w:rPr>
          <w:rFonts w:ascii="DejaVu Sans Mono" w:hAnsi="DejaVu Sans Mono"/>
          <w:b w:val="0"/>
          <w:i w:val="0"/>
          <w:sz w:val="17"/>
        </w:rPr>
        <w:t>schedule_mwh_by_asset</w:t>
      </w:r>
      <w:r>
        <w:rPr>
          <w:b w:val="0"/>
          <w:i w:val="0"/>
        </w:rPr>
        <w:t xml:space="preserve"> 均为 MWh。索引 </w:t>
      </w:r>
      <w:r>
        <w:drawing>
          <wp:inline xmlns:a="http://schemas.openxmlformats.org/drawingml/2006/main" xmlns:pic="http://schemas.openxmlformats.org/drawingml/2006/picture">
            <wp:extent cx="82353" cy="111916"/>
            <wp:docPr id="114" name="Picture 114"/>
            <wp:cNvGraphicFramePr>
              <a:graphicFrameLocks noChangeAspect="1"/>
            </wp:cNvGraphicFramePr>
            <a:graphic>
              <a:graphicData uri="http://schemas.openxmlformats.org/drawingml/2006/picture">
                <pic:pic>
                  <pic:nvPicPr>
                    <pic:cNvPr id="0" name="eq-053.png"/>
                    <pic:cNvPicPr/>
                  </pic:nvPicPr>
                  <pic:blipFill>
                    <a:blip r:embed="rId63"/>
                    <a:stretch>
                      <a:fillRect/>
                    </a:stretch>
                  </pic:blipFill>
                  <pic:spPr>
                    <a:xfrm>
                      <a:off x="0" y="0"/>
                      <a:ext cx="82353" cy="111916"/>
                    </a:xfrm>
                    <a:prstGeom prst="rect"/>
                  </pic:spPr>
                </pic:pic>
              </a:graphicData>
            </a:graphic>
          </wp:inline>
        </w:drawing>
      </w:r>
      <w:r>
        <w:rPr>
          <w:b w:val="0"/>
          <w:i w:val="0"/>
        </w:rPr>
        <w:t xml:space="preserve"> 表示报价，其 </w:t>
      </w:r>
      <w:r>
        <w:rPr>
          <w:rFonts w:ascii="DejaVu Sans Mono" w:hAnsi="DejaVu Sans Mono"/>
          <w:b w:val="0"/>
          <w:i w:val="0"/>
          <w:sz w:val="17"/>
        </w:rPr>
        <w:t>asset_id</w:t>
      </w:r>
      <w:r>
        <w:rPr>
          <w:b w:val="0"/>
          <w:i w:val="0"/>
        </w:rPr>
        <w:t xml:space="preserve"> 指定资产 </w:t>
      </w:r>
      <w:r>
        <w:drawing>
          <wp:inline xmlns:a="http://schemas.openxmlformats.org/drawingml/2006/main" xmlns:pic="http://schemas.openxmlformats.org/drawingml/2006/picture">
            <wp:extent cx="83610" cy="71068"/>
            <wp:docPr id="115" name="Picture 115"/>
            <wp:cNvGraphicFramePr>
              <a:graphicFrameLocks noChangeAspect="1"/>
            </wp:cNvGraphicFramePr>
            <a:graphic>
              <a:graphicData uri="http://schemas.openxmlformats.org/drawingml/2006/picture">
                <pic:pic>
                  <pic:nvPicPr>
                    <pic:cNvPr id="0" name="eq-042.png"/>
                    <pic:cNvPicPr/>
                  </pic:nvPicPr>
                  <pic:blipFill>
                    <a:blip r:embed="rId52"/>
                    <a:stretch>
                      <a:fillRect/>
                    </a:stretch>
                  </pic:blipFill>
                  <pic:spPr>
                    <a:xfrm>
                      <a:off x="0" y="0"/>
                      <a:ext cx="83610" cy="71068"/>
                    </a:xfrm>
                    <a:prstGeom prst="rect"/>
                  </pic:spPr>
                </pic:pic>
              </a:graphicData>
            </a:graphic>
          </wp:inline>
        </w:drawing>
      </w:r>
      <w:r>
        <w:rPr>
          <w:b w:val="0"/>
          <w:i w:val="0"/>
        </w:rPr>
        <w:t>⁠，</w:t>
      </w:r>
      <w:r>
        <w:rPr>
          <w:rFonts w:ascii="DejaVu Sans Mono" w:hAnsi="DejaVu Sans Mono"/>
          <w:b w:val="0"/>
          <w:i w:val="0"/>
          <w:sz w:val="17"/>
        </w:rPr>
        <w:t>asset_zone_id_by_asset</w:t>
      </w:r>
      <w:r>
        <w:rPr>
          <w:b w:val="0"/>
          <w:i w:val="0"/>
        </w:rPr>
        <w:t xml:space="preserve"> 指定分区 </w:t>
      </w:r>
      <w:r>
        <w:drawing>
          <wp:inline xmlns:a="http://schemas.openxmlformats.org/drawingml/2006/main" xmlns:pic="http://schemas.openxmlformats.org/drawingml/2006/picture">
            <wp:extent cx="73482" cy="71383"/>
            <wp:docPr id="116" name="Picture 116"/>
            <wp:cNvGraphicFramePr>
              <a:graphicFrameLocks noChangeAspect="1"/>
            </wp:cNvGraphicFramePr>
            <a:graphic>
              <a:graphicData uri="http://schemas.openxmlformats.org/drawingml/2006/picture">
                <pic:pic>
                  <pic:nvPicPr>
                    <pic:cNvPr id="0" name="eq-116.png"/>
                    <pic:cNvPicPr/>
                  </pic:nvPicPr>
                  <pic:blipFill>
                    <a:blip r:embed="rId118"/>
                    <a:stretch>
                      <a:fillRect/>
                    </a:stretch>
                  </pic:blipFill>
                  <pic:spPr>
                    <a:xfrm>
                      <a:off x="0" y="0"/>
                      <a:ext cx="73482" cy="71383"/>
                    </a:xfrm>
                    <a:prstGeom prst="rect"/>
                  </pic:spPr>
                </pic:pic>
              </a:graphicData>
            </a:graphic>
          </wp:inline>
        </w:drawing>
      </w:r>
      <w:r>
        <w:rPr>
          <w:b w:val="0"/>
          <w:i w:val="0"/>
        </w:rPr>
        <w:t>⁠：</w:t>
      </w:r>
    </w:p>
    <w:p>
      <w:pPr>
        <w:spacing w:after="160"/>
        <w:jc w:val="center"/>
      </w:pPr>
      <w:r>
        <w:drawing>
          <wp:inline xmlns:a="http://schemas.openxmlformats.org/drawingml/2006/main" xmlns:pic="http://schemas.openxmlformats.org/drawingml/2006/picture">
            <wp:extent cx="5212308" cy="1067609"/>
            <wp:docPr id="117" name="Picture 117"/>
            <wp:cNvGraphicFramePr>
              <a:graphicFrameLocks noChangeAspect="1"/>
            </wp:cNvGraphicFramePr>
            <a:graphic>
              <a:graphicData uri="http://schemas.openxmlformats.org/drawingml/2006/picture">
                <pic:pic>
                  <pic:nvPicPr>
                    <pic:cNvPr id="0" name="eq-117.png"/>
                    <pic:cNvPicPr/>
                  </pic:nvPicPr>
                  <pic:blipFill>
                    <a:blip r:embed="rId119"/>
                    <a:stretch>
                      <a:fillRect/>
                    </a:stretch>
                  </pic:blipFill>
                  <pic:spPr>
                    <a:xfrm>
                      <a:off x="0" y="0"/>
                      <a:ext cx="5212308" cy="1067609"/>
                    </a:xfrm>
                    <a:prstGeom prst="rect"/>
                  </pic:spPr>
                </pic:pic>
              </a:graphicData>
            </a:graphic>
          </wp:inline>
        </w:drawing>
      </w:r>
    </w:p>
    <w:p>
      <w:pPr>
        <w:keepNext/>
      </w:pPr>
      <w:r>
        <w:rPr>
          <w:b w:val="0"/>
          <w:i w:val="0"/>
        </w:rPr>
        <w:t xml:space="preserve">分区守恒要求最终供给和流入满足需求及流出。走廊方向由 </w:t>
      </w:r>
      <w:r>
        <w:rPr>
          <w:rFonts w:ascii="DejaVu Sans Mono" w:hAnsi="DejaVu Sans Mono"/>
          <w:b w:val="0"/>
          <w:i w:val="0"/>
          <w:sz w:val="17"/>
        </w:rPr>
        <w:t>from_zone_id</w:t>
      </w:r>
      <w:r>
        <w:rPr>
          <w:b w:val="0"/>
          <w:i w:val="0"/>
        </w:rPr>
        <w:t xml:space="preserve"> 与 </w:t>
      </w:r>
      <w:r>
        <w:rPr>
          <w:rFonts w:ascii="DejaVu Sans Mono" w:hAnsi="DejaVu Sans Mono"/>
          <w:b w:val="0"/>
          <w:i w:val="0"/>
          <w:sz w:val="17"/>
        </w:rPr>
        <w:t>to_zone_id</w:t>
      </w:r>
      <w:r>
        <w:rPr>
          <w:b w:val="0"/>
          <w:i w:val="0"/>
        </w:rPr>
        <w:t xml:space="preserve"> 定义：</w:t>
      </w:r>
    </w:p>
    <w:p>
      <w:pPr>
        <w:spacing w:after="160"/>
        <w:jc w:val="center"/>
      </w:pPr>
      <w:r>
        <w:drawing>
          <wp:inline xmlns:a="http://schemas.openxmlformats.org/drawingml/2006/main" xmlns:pic="http://schemas.openxmlformats.org/drawingml/2006/picture">
            <wp:extent cx="5951601" cy="836515"/>
            <wp:docPr id="118" name="Picture 118"/>
            <wp:cNvGraphicFramePr>
              <a:graphicFrameLocks noChangeAspect="1"/>
            </wp:cNvGraphicFramePr>
            <a:graphic>
              <a:graphicData uri="http://schemas.openxmlformats.org/drawingml/2006/picture">
                <pic:pic>
                  <pic:nvPicPr>
                    <pic:cNvPr id="0" name="eq-118.png"/>
                    <pic:cNvPicPr/>
                  </pic:nvPicPr>
                  <pic:blipFill>
                    <a:blip r:embed="rId120"/>
                    <a:stretch>
                      <a:fillRect/>
                    </a:stretch>
                  </pic:blipFill>
                  <pic:spPr>
                    <a:xfrm>
                      <a:off x="0" y="0"/>
                      <a:ext cx="5951601" cy="836515"/>
                    </a:xfrm>
                    <a:prstGeom prst="rect"/>
                  </pic:spPr>
                </pic:pic>
              </a:graphicData>
            </a:graphic>
          </wp:inline>
        </w:drawing>
      </w:r>
    </w:p>
    <w:p>
      <w:r>
        <w:rPr>
          <w:b w:val="0"/>
          <w:i w:val="0"/>
        </w:rPr>
        <w:t xml:space="preserve">报价接纳量位于零与 </w:t>
      </w:r>
      <w:r>
        <w:rPr>
          <w:rFonts w:ascii="DejaVu Sans Mono" w:hAnsi="DejaVu Sans Mono"/>
          <w:b w:val="0"/>
          <w:i w:val="0"/>
          <w:sz w:val="17"/>
        </w:rPr>
        <w:t>bid_capacity</w:t>
      </w:r>
      <w:r>
        <w:rPr>
          <w:b w:val="0"/>
          <w:i w:val="0"/>
        </w:rPr>
        <w:t xml:space="preserve"> 之间，MW 报价乘 </w:t>
      </w:r>
      <w:r>
        <w:rPr>
          <w:rFonts w:ascii="DejaVu Sans Mono" w:hAnsi="DejaVu Sans Mono"/>
          <w:b w:val="0"/>
          <w:i w:val="0"/>
          <w:sz w:val="17"/>
        </w:rPr>
        <w:t>period_hours = 0.5</w:t>
      </w:r>
      <w:r>
        <w:rPr>
          <w:b w:val="0"/>
          <w:i w:val="0"/>
        </w:rPr>
        <w:t xml:space="preserve"> 后成为期间电量。缺电量介于零与分区需求之间。发电注入介于零与 </w:t>
      </w:r>
      <w:r>
        <w:rPr>
          <w:rFonts w:ascii="DejaVu Sans Mono" w:hAnsi="DejaVu Sans Mono"/>
          <w:b w:val="0"/>
          <w:i w:val="0"/>
          <w:sz w:val="17"/>
        </w:rPr>
        <w:t>realised_​availability_​mw_​by_​asset</w:t>
      </w:r>
      <w:r>
        <w:rPr>
          <w:b w:val="0"/>
          <w:i w:val="0"/>
        </w:rPr>
        <w:t xml:space="preserve"> 乘时段长度之间；互联线注入介于负的 </w:t>
      </w:r>
      <w:r>
        <w:rPr>
          <w:rFonts w:ascii="DejaVu Sans Mono" w:hAnsi="DejaVu Sans Mono"/>
          <w:b w:val="0"/>
          <w:i w:val="0"/>
          <w:sz w:val="17"/>
        </w:rPr>
        <w:t>export_capacity_mwh</w:t>
      </w:r>
      <w:r>
        <w:rPr>
          <w:b w:val="0"/>
          <w:i w:val="0"/>
        </w:rPr>
        <w:t xml:space="preserve"> 与正的 </w:t>
      </w:r>
      <w:r>
        <w:rPr>
          <w:rFonts w:ascii="DejaVu Sans Mono" w:hAnsi="DejaVu Sans Mono"/>
          <w:b w:val="0"/>
          <w:i w:val="0"/>
          <w:sz w:val="17"/>
        </w:rPr>
        <w:t>import_capacity_mwh</w:t>
      </w:r>
      <w:r>
        <w:rPr>
          <w:b w:val="0"/>
          <w:i w:val="0"/>
        </w:rPr>
        <w:t xml:space="preserve"> 之间。</w:t>
      </w:r>
    </w:p>
    <w:p>
      <w:pPr>
        <w:keepNext/>
      </w:pPr>
      <w:r>
        <w:rPr>
          <w:b w:val="0"/>
          <w:i w:val="0"/>
        </w:rPr>
        <w:t>同价非储能报价按可自由接纳量比例分配。上调分组采用相同区域、方向、网络作用和价格，下调还要求类别相同。</w:t>
      </w:r>
      <w:r>
        <w:rPr>
          <w:rFonts w:ascii="DejaVu Sans Mono" w:hAnsi="DejaVu Sans Mono"/>
          <w:b w:val="0"/>
          <w:i w:val="0"/>
          <w:sz w:val="17"/>
        </w:rPr>
        <w:t>_forced_down_by_bid</w:t>
      </w:r>
      <w:r>
        <w:rPr>
          <w:b w:val="0"/>
          <w:i w:val="0"/>
        </w:rPr>
        <w:t xml:space="preserve"> 先分出实际可用率或互联线限额要求的强制下调量。对组内某报价及该组第一报价，实现采用</w:t>
      </w:r>
    </w:p>
    <w:p>
      <w:pPr>
        <w:spacing w:after="160"/>
        <w:jc w:val="center"/>
      </w:pPr>
      <w:r>
        <w:drawing>
          <wp:inline xmlns:a="http://schemas.openxmlformats.org/drawingml/2006/main" xmlns:pic="http://schemas.openxmlformats.org/drawingml/2006/picture">
            <wp:extent cx="4999863" cy="642415"/>
            <wp:docPr id="119" name="Picture 119"/>
            <wp:cNvGraphicFramePr>
              <a:graphicFrameLocks noChangeAspect="1"/>
            </wp:cNvGraphicFramePr>
            <a:graphic>
              <a:graphicData uri="http://schemas.openxmlformats.org/drawingml/2006/picture">
                <pic:pic>
                  <pic:nvPicPr>
                    <pic:cNvPr id="0" name="eq-119.png"/>
                    <pic:cNvPicPr/>
                  </pic:nvPicPr>
                  <pic:blipFill>
                    <a:blip r:embed="rId121"/>
                    <a:stretch>
                      <a:fillRect/>
                    </a:stretch>
                  </pic:blipFill>
                  <pic:spPr>
                    <a:xfrm>
                      <a:off x="0" y="0"/>
                      <a:ext cx="4999863" cy="642415"/>
                    </a:xfrm>
                    <a:prstGeom prst="rect"/>
                  </pic:spPr>
                </pic:pic>
              </a:graphicData>
            </a:graphic>
          </wp:inline>
        </w:drawing>
      </w:r>
    </w:p>
    <w:p>
      <w:pPr>
        <w:keepNext/>
      </w:pPr>
      <w:r>
        <w:rPr>
          <w:b w:val="0"/>
          <w:i w:val="0"/>
        </w:rPr>
        <w:t>每个地理边界限制其成员走廊的带方向合计流量。</w:t>
      </w:r>
      <w:r>
        <w:rPr>
          <w:rFonts w:ascii="DejaVu Sans Mono" w:hAnsi="DejaVu Sans Mono"/>
          <w:b w:val="0"/>
          <w:i w:val="0"/>
          <w:sz w:val="17"/>
        </w:rPr>
        <w:t>coefficient</w:t>
      </w:r>
      <w:r>
        <w:rPr>
          <w:b w:val="0"/>
          <w:i w:val="0"/>
        </w:rPr>
        <w:t xml:space="preserve"> 为成员方向系数，</w:t>
      </w:r>
      <w:r>
        <w:rPr>
          <w:rFonts w:ascii="DejaVu Sans Mono" w:hAnsi="DejaVu Sans Mono"/>
          <w:b w:val="0"/>
          <w:i w:val="0"/>
          <w:sz w:val="17"/>
        </w:rPr>
        <w:t>forward_capacity</w:t>
      </w:r>
      <w:r>
        <w:rPr>
          <w:b w:val="0"/>
          <w:i w:val="0"/>
        </w:rPr>
        <w:t xml:space="preserve"> 与 </w:t>
      </w:r>
      <w:r>
        <w:rPr>
          <w:rFonts w:ascii="DejaVu Sans Mono" w:hAnsi="DejaVu Sans Mono"/>
          <w:b w:val="0"/>
          <w:i w:val="0"/>
          <w:sz w:val="17"/>
        </w:rPr>
        <w:t>reverse_capacity</w:t>
      </w:r>
      <w:r>
        <w:rPr>
          <w:b w:val="0"/>
          <w:i w:val="0"/>
        </w:rPr>
        <w:t xml:space="preserve"> 为将 MW 输入换算后的期间 MWh：</w:t>
      </w:r>
    </w:p>
    <w:p>
      <w:pPr>
        <w:spacing w:after="160"/>
        <w:jc w:val="center"/>
      </w:pPr>
      <w:r>
        <w:drawing>
          <wp:inline xmlns:a="http://schemas.openxmlformats.org/drawingml/2006/main" xmlns:pic="http://schemas.openxmlformats.org/drawingml/2006/picture">
            <wp:extent cx="5372404" cy="377211"/>
            <wp:docPr id="120" name="Picture 120"/>
            <wp:cNvGraphicFramePr>
              <a:graphicFrameLocks noChangeAspect="1"/>
            </wp:cNvGraphicFramePr>
            <a:graphic>
              <a:graphicData uri="http://schemas.openxmlformats.org/drawingml/2006/picture">
                <pic:pic>
                  <pic:nvPicPr>
                    <pic:cNvPr id="0" name="eq-120.png"/>
                    <pic:cNvPicPr/>
                  </pic:nvPicPr>
                  <pic:blipFill>
                    <a:blip r:embed="rId122"/>
                    <a:stretch>
                      <a:fillRect/>
                    </a:stretch>
                  </pic:blipFill>
                  <pic:spPr>
                    <a:xfrm>
                      <a:off x="0" y="0"/>
                      <a:ext cx="5372404" cy="377211"/>
                    </a:xfrm>
                    <a:prstGeom prst="rect"/>
                  </pic:spPr>
                </pic:pic>
              </a:graphicData>
            </a:graphic>
          </wp:inline>
        </w:drawing>
      </w:r>
    </w:p>
    <w:p>
      <w:r>
        <w:rPr>
          <w:b w:val="0"/>
          <w:i w:val="0"/>
        </w:rPr>
        <w:t>各边界同时约束流量。单独声明的走廊限额进一步限制该走廊，</w:t>
      </w:r>
      <w:r>
        <w:rPr>
          <w:rFonts w:ascii="DejaVu Sans Mono" w:hAnsi="DejaVu Sans Mono"/>
          <w:b w:val="0"/>
          <w:i w:val="0"/>
          <w:sz w:val="17"/>
        </w:rPr>
        <w:t>absolute-flow</w:t>
      </w:r>
      <w:r>
        <w:rPr>
          <w:b w:val="0"/>
          <w:i w:val="0"/>
        </w:rPr>
        <w:t xml:space="preserve"> 至少等于正、负两个方向的流量值。因此，B6 的 6,700 MW 在每半小时对应 3,350 MWh。缺少自身限额的走廊仍受分区守恒和所属边界约束。</w:t>
      </w:r>
    </w:p>
    <w:p>
      <w:pPr>
        <w:keepNext/>
      </w:pPr>
      <w:r>
        <w:rPr>
          <w:b w:val="0"/>
          <w:i w:val="0"/>
        </w:rPr>
        <w:t>储能再调度以实际充放电更新内部库存。</w:t>
      </w:r>
      <w:r>
        <w:rPr>
          <w:rFonts w:ascii="DejaVu Sans Mono" w:hAnsi="DejaVu Sans Mono"/>
          <w:b w:val="0"/>
          <w:i w:val="0"/>
          <w:sz w:val="17"/>
        </w:rPr>
        <w:t>opening</w:t>
      </w:r>
      <w:r>
        <w:rPr>
          <w:b w:val="0"/>
          <w:i w:val="0"/>
        </w:rPr>
        <w:t xml:space="preserve"> 取自 </w:t>
      </w:r>
      <w:r>
        <w:rPr>
          <w:rFonts w:ascii="DejaVu Sans Mono" w:hAnsi="DejaVu Sans Mono"/>
          <w:b w:val="0"/>
          <w:i w:val="0"/>
          <w:sz w:val="17"/>
        </w:rPr>
        <w:t>initial_​soc_​mwh_​by_​asset</w:t>
      </w:r>
      <w:r>
        <w:rPr>
          <w:b w:val="0"/>
          <w:i w:val="0"/>
        </w:rPr>
        <w:t>，</w:t>
      </w:r>
      <w:r>
        <w:rPr>
          <w:rFonts w:ascii="DejaVu Sans Mono" w:hAnsi="DejaVu Sans Mono"/>
          <w:b w:val="0"/>
          <w:i w:val="0"/>
          <w:sz w:val="17"/>
        </w:rPr>
        <w:t>capacity</w:t>
      </w:r>
      <w:r>
        <w:rPr>
          <w:b w:val="0"/>
          <w:i w:val="0"/>
        </w:rPr>
        <w:t xml:space="preserve"> 取自 </w:t>
      </w:r>
      <w:r>
        <w:rPr>
          <w:rFonts w:ascii="DejaVu Sans Mono" w:hAnsi="DejaVu Sans Mono"/>
          <w:b w:val="0"/>
          <w:i w:val="0"/>
          <w:sz w:val="17"/>
        </w:rPr>
        <w:t>energy_capacity_mwh</w:t>
      </w:r>
      <w:r>
        <w:rPr>
          <w:b w:val="0"/>
          <w:i w:val="0"/>
        </w:rPr>
        <w:t>。各储能满足</w:t>
      </w:r>
    </w:p>
    <w:p>
      <w:pPr>
        <w:spacing w:after="160"/>
        <w:jc w:val="center"/>
      </w:pPr>
      <w:r>
        <w:drawing>
          <wp:inline xmlns:a="http://schemas.openxmlformats.org/drawingml/2006/main" xmlns:pic="http://schemas.openxmlformats.org/drawingml/2006/picture">
            <wp:extent cx="6217920" cy="834915"/>
            <wp:docPr id="121" name="Picture 121"/>
            <wp:cNvGraphicFramePr>
              <a:graphicFrameLocks noChangeAspect="1"/>
            </wp:cNvGraphicFramePr>
            <a:graphic>
              <a:graphicData uri="http://schemas.openxmlformats.org/drawingml/2006/picture">
                <pic:pic>
                  <pic:nvPicPr>
                    <pic:cNvPr id="0" name="eq-121.png"/>
                    <pic:cNvPicPr/>
                  </pic:nvPicPr>
                  <pic:blipFill>
                    <a:blip r:embed="rId123"/>
                    <a:stretch>
                      <a:fillRect/>
                    </a:stretch>
                  </pic:blipFill>
                  <pic:spPr>
                    <a:xfrm>
                      <a:off x="0" y="0"/>
                      <a:ext cx="6217920" cy="834915"/>
                    </a:xfrm>
                    <a:prstGeom prst="rect"/>
                  </pic:spPr>
                </pic:pic>
              </a:graphicData>
            </a:graphic>
          </wp:inline>
        </w:drawing>
      </w:r>
    </w:p>
    <w:p>
      <w:r>
        <w:rPr>
          <w:b w:val="0"/>
          <w:i w:val="0"/>
        </w:rPr>
        <w:t xml:space="preserve">充放电分别介于零与对应功率乘 </w:t>
      </w:r>
      <w:r>
        <w:rPr>
          <w:rFonts w:ascii="DejaVu Sans Mono" w:hAnsi="DejaVu Sans Mono"/>
          <w:b w:val="0"/>
          <w:i w:val="0"/>
          <w:sz w:val="17"/>
        </w:rPr>
        <w:t>period_hours</w:t>
      </w:r>
      <w:r>
        <w:rPr>
          <w:b w:val="0"/>
          <w:i w:val="0"/>
        </w:rPr>
        <w:t xml:space="preserve"> 之间，期末库存介于零与 </w:t>
      </w:r>
      <w:r>
        <w:rPr>
          <w:rFonts w:ascii="DejaVu Sans Mono" w:hAnsi="DejaVu Sans Mono"/>
          <w:b w:val="0"/>
          <w:i w:val="0"/>
          <w:sz w:val="17"/>
        </w:rPr>
        <w:t>capacity</w:t>
      </w:r>
      <w:r>
        <w:rPr>
          <w:b w:val="0"/>
          <w:i w:val="0"/>
        </w:rPr>
        <w:t xml:space="preserve"> 之间。储能报价采用 </w:t>
      </w:r>
      <w:r>
        <w:rPr>
          <w:rFonts w:ascii="DejaVu Sans Mono" w:hAnsi="DejaVu Sans Mono"/>
          <w:b w:val="0"/>
          <w:i w:val="0"/>
          <w:sz w:val="17"/>
        </w:rPr>
        <w:t>convex_net_power_v1</w:t>
      </w:r>
      <w:r>
        <w:rPr>
          <w:b w:val="0"/>
          <w:i w:val="0"/>
        </w:rPr>
        <w:t xml:space="preserve">，每个方向至多一条，下调价格至多为上调价格加 </w:t>
      </w:r>
      <w:r>
        <w:drawing>
          <wp:inline xmlns:a="http://schemas.openxmlformats.org/drawingml/2006/main" xmlns:pic="http://schemas.openxmlformats.org/drawingml/2006/picture">
            <wp:extent cx="313975" cy="140242"/>
            <wp:docPr id="122" name="Picture 122"/>
            <wp:cNvGraphicFramePr>
              <a:graphicFrameLocks noChangeAspect="1"/>
            </wp:cNvGraphicFramePr>
            <a:graphic>
              <a:graphicData uri="http://schemas.openxmlformats.org/drawingml/2006/picture">
                <pic:pic>
                  <pic:nvPicPr>
                    <pic:cNvPr id="0" name="eq-110.png"/>
                    <pic:cNvPicPr/>
                  </pic:nvPicPr>
                  <pic:blipFill>
                    <a:blip r:embed="rId114"/>
                    <a:stretch>
                      <a:fillRect/>
                    </a:stretch>
                  </pic:blipFill>
                  <pic:spPr>
                    <a:xfrm>
                      <a:off x="0" y="0"/>
                      <a:ext cx="313975" cy="140242"/>
                    </a:xfrm>
                    <a:prstGeom prst="rect"/>
                  </pic:spPr>
                </pic:pic>
              </a:graphicData>
            </a:graphic>
          </wp:inline>
        </w:drawing>
      </w:r>
      <w:r>
        <w:rPr>
          <w:b w:val="0"/>
          <w:i w:val="0"/>
        </w:rPr>
        <w:t xml:space="preserve"> GBP/MWh。最终同时充放电量至多为 </w:t>
      </w:r>
      <w:r>
        <w:drawing>
          <wp:inline xmlns:a="http://schemas.openxmlformats.org/drawingml/2006/main" xmlns:pic="http://schemas.openxmlformats.org/drawingml/2006/picture">
            <wp:extent cx="313975" cy="140242"/>
            <wp:docPr id="123" name="Picture 123"/>
            <wp:cNvGraphicFramePr>
              <a:graphicFrameLocks noChangeAspect="1"/>
            </wp:cNvGraphicFramePr>
            <a:graphic>
              <a:graphicData uri="http://schemas.openxmlformats.org/drawingml/2006/picture">
                <pic:pic>
                  <pic:nvPicPr>
                    <pic:cNvPr id="0" name="eq-110.png"/>
                    <pic:cNvPicPr/>
                  </pic:nvPicPr>
                  <pic:blipFill>
                    <a:blip r:embed="rId114"/>
                    <a:stretch>
                      <a:fillRect/>
                    </a:stretch>
                  </pic:blipFill>
                  <pic:spPr>
                    <a:xfrm>
                      <a:off x="0" y="0"/>
                      <a:ext cx="313975" cy="140242"/>
                    </a:xfrm>
                    <a:prstGeom prst="rect"/>
                  </pic:spPr>
                </pic:pic>
              </a:graphicData>
            </a:graphic>
          </wp:inline>
        </w:drawing>
      </w:r>
      <w:r>
        <w:rPr>
          <w:b w:val="0"/>
          <w:i w:val="0"/>
        </w:rPr>
        <w:t xml:space="preserve"> MWh。期末库存传入下一期，全国计划与提交报价提供当前决策中的跨期价值。</w:t>
      </w:r>
    </w:p>
    <w:p>
      <w:pPr>
        <w:keepNext/>
      </w:pPr>
      <w:r>
        <w:rPr>
          <w:b w:val="0"/>
          <w:i w:val="0"/>
        </w:rPr>
        <w:t>物理资源支出与报价支付分别核算。</w:t>
      </w:r>
      <w:r>
        <w:rPr>
          <w:rFonts w:ascii="DejaVu Sans Mono" w:hAnsi="DejaVu Sans Mono"/>
          <w:b w:val="0"/>
          <w:i w:val="0"/>
          <w:sz w:val="17"/>
        </w:rPr>
        <w:t>resource_​cost_​gbp_​per_​mwh_​by_​asset</w:t>
      </w:r>
      <w:r>
        <w:rPr>
          <w:b w:val="0"/>
          <w:i w:val="0"/>
        </w:rPr>
        <w:t xml:space="preserve"> 乘资产正的最终注入，缺电按 VoLL 计价：</w:t>
      </w:r>
    </w:p>
    <w:p>
      <w:pPr>
        <w:spacing w:after="160"/>
        <w:jc w:val="center"/>
      </w:pPr>
      <w:r>
        <w:drawing>
          <wp:inline xmlns:a="http://schemas.openxmlformats.org/drawingml/2006/main" xmlns:pic="http://schemas.openxmlformats.org/drawingml/2006/picture">
            <wp:extent cx="5682005" cy="1003379"/>
            <wp:docPr id="124" name="Picture 124"/>
            <wp:cNvGraphicFramePr>
              <a:graphicFrameLocks noChangeAspect="1"/>
            </wp:cNvGraphicFramePr>
            <a:graphic>
              <a:graphicData uri="http://schemas.openxmlformats.org/drawingml/2006/picture">
                <pic:pic>
                  <pic:nvPicPr>
                    <pic:cNvPr id="0" name="eq-124.png"/>
                    <pic:cNvPicPr/>
                  </pic:nvPicPr>
                  <pic:blipFill>
                    <a:blip r:embed="rId124"/>
                    <a:stretch>
                      <a:fillRect/>
                    </a:stretch>
                  </pic:blipFill>
                  <pic:spPr>
                    <a:xfrm>
                      <a:off x="0" y="0"/>
                      <a:ext cx="5682005" cy="1003379"/>
                    </a:xfrm>
                    <a:prstGeom prst="rect"/>
                  </pic:spPr>
                </pic:pic>
              </a:graphicData>
            </a:graphic>
          </wp:inline>
        </w:drawing>
      </w:r>
    </w:p>
    <w:p>
      <w:r>
        <w:rPr>
          <w:b w:val="0"/>
          <w:i w:val="0"/>
        </w:rPr>
        <w:t>网络约束费用将该结果与合并为单节点、移除走廊和边界后的同一线性规划比较。</w:t>
      </w:r>
      <w:r>
        <w:rPr>
          <w:rFonts w:ascii="DejaVu Sans Mono" w:hAnsi="DejaVu Sans Mono"/>
          <w:b w:val="0"/>
          <w:i w:val="0"/>
          <w:sz w:val="17"/>
        </w:rPr>
        <w:t>solve_​network_​free_​counterfactual</w:t>
      </w:r>
      <w:r>
        <w:rPr>
          <w:b w:val="0"/>
          <w:i w:val="0"/>
        </w:rPr>
        <w:t xml:space="preserve"> 保留报价、出口套利、进出口限额、储能物理约束、缺电估值和求解设置。两种情况共用逐期单位费用表：优先取给定的时变资源费用，其余采用年度边际费用、储能循环折旧及零出口资源费用。负进口价格可使期间资源支出为负。</w:t>
      </w:r>
    </w:p>
    <w:p>
      <w:r>
        <w:rPr>
          <w:b w:val="0"/>
          <w:i w:val="0"/>
        </w:rPr>
        <w:t xml:space="preserve">第一目标的差额记为 </w:t>
      </w:r>
      <w:r>
        <w:rPr>
          <w:rFonts w:ascii="DejaVu Sans Mono" w:hAnsi="DejaVu Sans Mono"/>
          <w:b w:val="0"/>
          <w:i w:val="0"/>
          <w:sz w:val="17"/>
        </w:rPr>
        <w:t>network_​constraint_​bid_​objective_​gbp</w:t>
      </w:r>
      <w:r>
        <w:rPr>
          <w:b w:val="0"/>
          <w:i w:val="0"/>
        </w:rPr>
        <w:t>，表示接纳报价支付与缺电估值的变化；</w:t>
      </w:r>
      <w:r>
        <w:rPr>
          <w:rFonts w:ascii="DejaVu Sans Mono" w:hAnsi="DejaVu Sans Mono"/>
          <w:b w:val="0"/>
          <w:i w:val="0"/>
          <w:sz w:val="17"/>
        </w:rPr>
        <w:t>physical_​resource_​cost_​gbp</w:t>
      </w:r>
      <w:r>
        <w:rPr>
          <w:b w:val="0"/>
          <w:i w:val="0"/>
        </w:rPr>
        <w:t xml:space="preserve"> 表示资源支出。</w:t>
      </w:r>
    </w:p>
    <w:p>
      <w:pPr>
        <w:pStyle w:val="Heading2"/>
      </w:pPr>
      <w:r>
        <w:rPr>
          <w:b w:val="0"/>
          <w:i w:val="0"/>
        </w:rPr>
        <w:t>数值求解与边界边际价值</w:t>
      </w:r>
    </w:p>
    <w:p>
      <w:r>
        <w:rPr>
          <w:b w:val="0"/>
          <w:i w:val="0"/>
        </w:rPr>
        <w:t>求解器先固定第一目标最优解的缺电总量，再限制其中的报价费用。</w:t>
      </w:r>
      <w:r>
        <w:rPr>
          <w:rFonts w:ascii="DejaVu Sans Mono" w:hAnsi="DejaVu Sans Mono"/>
          <w:b w:val="0"/>
          <w:i w:val="0"/>
          <w:sz w:val="17"/>
        </w:rPr>
        <w:t>lock_primary_shedding</w:t>
      </w:r>
      <w:r>
        <w:rPr>
          <w:b w:val="0"/>
          <w:i w:val="0"/>
        </w:rPr>
        <w:t xml:space="preserve"> 在第一阶段缺电总量为零时将各区缺电固定为零，其余情况以上一最优解的缺电合计作为上界。</w:t>
      </w:r>
      <w:r>
        <w:rPr>
          <w:rFonts w:ascii="DejaVu Sans Mono" w:hAnsi="DejaVu Sans Mono"/>
          <w:b w:val="0"/>
          <w:i w:val="0"/>
          <w:sz w:val="17"/>
        </w:rPr>
        <w:t>bid_cost_coefficients</w:t>
      </w:r>
      <w:r>
        <w:rPr>
          <w:b w:val="0"/>
          <w:i w:val="0"/>
        </w:rPr>
        <w:t xml:space="preserve"> 提供下一条约束使用的纯报价费用系数。</w:t>
      </w:r>
    </w:p>
    <w:p>
      <w:pPr>
        <w:keepNext/>
      </w:pPr>
      <w:r>
        <w:rPr>
          <w:b w:val="0"/>
          <w:i w:val="0"/>
        </w:rPr>
        <w:t>目标约束采用随数值尺度变化的浮点容差。</w:t>
      </w:r>
      <w:r>
        <w:rPr>
          <w:rFonts w:ascii="DejaVu Sans Mono" w:hAnsi="DejaVu Sans Mono"/>
          <w:b w:val="0"/>
          <w:i w:val="0"/>
          <w:sz w:val="17"/>
        </w:rPr>
        <w:t>compute_lock_tolerance</w:t>
      </w:r>
      <w:r>
        <w:rPr>
          <w:b w:val="0"/>
          <w:i w:val="0"/>
        </w:rPr>
        <w:t xml:space="preserve"> 读取目标系数 </w:t>
      </w:r>
      <w:r>
        <w:rPr>
          <w:rFonts w:ascii="DejaVu Sans Mono" w:hAnsi="DejaVu Sans Mono"/>
          <w:b w:val="0"/>
          <w:i w:val="0"/>
          <w:sz w:val="17"/>
        </w:rPr>
        <w:t>coefficients</w:t>
      </w:r>
      <w:r>
        <w:rPr>
          <w:b w:val="0"/>
          <w:i w:val="0"/>
        </w:rPr>
        <w:t xml:space="preserve">、前次最优解 </w:t>
      </w:r>
      <w:r>
        <w:rPr>
          <w:rFonts w:ascii="DejaVu Sans Mono" w:hAnsi="DejaVu Sans Mono"/>
          <w:b w:val="0"/>
          <w:i w:val="0"/>
          <w:sz w:val="17"/>
        </w:rPr>
        <w:t>optimum</w:t>
      </w:r>
      <w:r>
        <w:rPr>
          <w:b w:val="0"/>
          <w:i w:val="0"/>
        </w:rPr>
        <w:t xml:space="preserve">、下限 </w:t>
      </w:r>
      <w:r>
        <w:rPr>
          <w:rFonts w:ascii="DejaVu Sans Mono" w:hAnsi="DejaVu Sans Mono"/>
          <w:b w:val="0"/>
          <w:i w:val="0"/>
          <w:sz w:val="17"/>
        </w:rPr>
        <w:t>unit_floor</w:t>
      </w:r>
      <w:r>
        <w:rPr>
          <w:b w:val="0"/>
          <w:i w:val="0"/>
        </w:rPr>
        <w:t xml:space="preserve"> 和有效 </w:t>
      </w:r>
      <w:r>
        <w:rPr>
          <w:rFonts w:ascii="DejaVu Sans Mono" w:hAnsi="DejaVu Sans Mono"/>
          <w:b w:val="0"/>
          <w:i w:val="0"/>
          <w:sz w:val="17"/>
        </w:rPr>
        <w:t>solver_tolerance</w:t>
      </w:r>
      <w:r>
        <w:rPr>
          <w:b w:val="0"/>
          <w:i w:val="0"/>
        </w:rPr>
        <w:t>，计算</w:t>
      </w:r>
    </w:p>
    <w:p>
      <w:pPr>
        <w:spacing w:after="160"/>
        <w:jc w:val="center"/>
      </w:pPr>
      <w:r>
        <w:drawing>
          <wp:inline xmlns:a="http://schemas.openxmlformats.org/drawingml/2006/main" xmlns:pic="http://schemas.openxmlformats.org/drawingml/2006/picture">
            <wp:extent cx="5080939" cy="2194198"/>
            <wp:docPr id="125" name="Picture 125"/>
            <wp:cNvGraphicFramePr>
              <a:graphicFrameLocks noChangeAspect="1"/>
            </wp:cNvGraphicFramePr>
            <a:graphic>
              <a:graphicData uri="http://schemas.openxmlformats.org/drawingml/2006/picture">
                <pic:pic>
                  <pic:nvPicPr>
                    <pic:cNvPr id="0" name="eq-125.png"/>
                    <pic:cNvPicPr/>
                  </pic:nvPicPr>
                  <pic:blipFill>
                    <a:blip r:embed="rId125"/>
                    <a:stretch>
                      <a:fillRect/>
                    </a:stretch>
                  </pic:blipFill>
                  <pic:spPr>
                    <a:xfrm>
                      <a:off x="0" y="0"/>
                      <a:ext cx="5080939" cy="2194198"/>
                    </a:xfrm>
                    <a:prstGeom prst="rect"/>
                  </pic:spPr>
                </pic:pic>
              </a:graphicData>
            </a:graphic>
          </wp:inline>
        </w:drawing>
      </w:r>
    </w:p>
    <w:p>
      <w:r>
        <w:rPr>
          <w:rFonts w:ascii="DejaVu Sans Mono" w:hAnsi="DejaVu Sans Mono"/>
          <w:b w:val="0"/>
          <w:i w:val="0"/>
          <w:sz w:val="17"/>
        </w:rPr>
        <w:t>nonzero_terms</w:t>
      </w:r>
      <w:r>
        <w:rPr>
          <w:b w:val="0"/>
          <w:i w:val="0"/>
        </w:rPr>
        <w:t xml:space="preserve"> 为非零系数数目，</w:t>
      </w:r>
      <w:r>
        <w:rPr>
          <w:rFonts w:ascii="DejaVu Sans Mono" w:hAnsi="DejaVu Sans Mono"/>
          <w:b w:val="0"/>
          <w:i w:val="0"/>
          <w:sz w:val="17"/>
        </w:rPr>
        <w:t>epsilon</w:t>
      </w:r>
      <w:r>
        <w:rPr>
          <w:b w:val="0"/>
          <w:i w:val="0"/>
        </w:rPr>
        <w:t xml:space="preserve"> 为机器精度。有效容差取适用求解容差与边界归整容差的较大值。报价费用约束的下限为 </w:t>
      </w:r>
      <w:r>
        <w:drawing>
          <wp:inline xmlns:a="http://schemas.openxmlformats.org/drawingml/2006/main" xmlns:pic="http://schemas.openxmlformats.org/drawingml/2006/picture">
            <wp:extent cx="313975" cy="140242"/>
            <wp:docPr id="126" name="Picture 126"/>
            <wp:cNvGraphicFramePr>
              <a:graphicFrameLocks noChangeAspect="1"/>
            </wp:cNvGraphicFramePr>
            <a:graphic>
              <a:graphicData uri="http://schemas.openxmlformats.org/drawingml/2006/picture">
                <pic:pic>
                  <pic:nvPicPr>
                    <pic:cNvPr id="0" name="eq-110.png"/>
                    <pic:cNvPicPr/>
                  </pic:nvPicPr>
                  <pic:blipFill>
                    <a:blip r:embed="rId114"/>
                    <a:stretch>
                      <a:fillRect/>
                    </a:stretch>
                  </pic:blipFill>
                  <pic:spPr>
                    <a:xfrm>
                      <a:off x="0" y="0"/>
                      <a:ext cx="313975" cy="140242"/>
                    </a:xfrm>
                    <a:prstGeom prst="rect"/>
                  </pic:spPr>
                </pic:pic>
              </a:graphicData>
            </a:graphic>
          </wp:inline>
        </w:drawing>
      </w:r>
      <w:r>
        <w:rPr>
          <w:b w:val="0"/>
          <w:i w:val="0"/>
        </w:rPr>
        <w:t xml:space="preserve"> GBP，默认求解容差为 </w:t>
      </w:r>
      <w:r>
        <w:drawing>
          <wp:inline xmlns:a="http://schemas.openxmlformats.org/drawingml/2006/main" xmlns:pic="http://schemas.openxmlformats.org/drawingml/2006/picture">
            <wp:extent cx="313975" cy="140242"/>
            <wp:docPr id="127" name="Picture 127"/>
            <wp:cNvGraphicFramePr>
              <a:graphicFrameLocks noChangeAspect="1"/>
            </wp:cNvGraphicFramePr>
            <a:graphic>
              <a:graphicData uri="http://schemas.openxmlformats.org/drawingml/2006/picture">
                <pic:pic>
                  <pic:nvPicPr>
                    <pic:cNvPr id="0" name="eq-088.png"/>
                    <pic:cNvPicPr/>
                  </pic:nvPicPr>
                  <pic:blipFill>
                    <a:blip r:embed="rId93"/>
                    <a:stretch>
                      <a:fillRect/>
                    </a:stretch>
                  </pic:blipFill>
                  <pic:spPr>
                    <a:xfrm>
                      <a:off x="0" y="0"/>
                      <a:ext cx="313975" cy="140242"/>
                    </a:xfrm>
                    <a:prstGeom prst="rect"/>
                  </pic:spPr>
                </pic:pic>
              </a:graphicData>
            </a:graphic>
          </wp:inline>
        </w:drawing>
      </w:r>
      <w:r>
        <w:rPr>
          <w:b w:val="0"/>
          <w:i w:val="0"/>
        </w:rPr>
        <w:t xml:space="preserve">⁠；MWh 目标的下限为 </w:t>
      </w:r>
      <w:r>
        <w:drawing>
          <wp:inline xmlns:a="http://schemas.openxmlformats.org/drawingml/2006/main" xmlns:pic="http://schemas.openxmlformats.org/drawingml/2006/picture">
            <wp:extent cx="313975" cy="140242"/>
            <wp:docPr id="128" name="Picture 128"/>
            <wp:cNvGraphicFramePr>
              <a:graphicFrameLocks noChangeAspect="1"/>
            </wp:cNvGraphicFramePr>
            <a:graphic>
              <a:graphicData uri="http://schemas.openxmlformats.org/drawingml/2006/picture">
                <pic:pic>
                  <pic:nvPicPr>
                    <pic:cNvPr id="0" name="eq-088.png"/>
                    <pic:cNvPicPr/>
                  </pic:nvPicPr>
                  <pic:blipFill>
                    <a:blip r:embed="rId93"/>
                    <a:stretch>
                      <a:fillRect/>
                    </a:stretch>
                  </pic:blipFill>
                  <pic:spPr>
                    <a:xfrm>
                      <a:off x="0" y="0"/>
                      <a:ext cx="313975" cy="140242"/>
                    </a:xfrm>
                    <a:prstGeom prst="rect"/>
                  </pic:spPr>
                </pic:pic>
              </a:graphicData>
            </a:graphic>
          </wp:inline>
        </w:drawing>
      </w:r>
      <w:r>
        <w:rPr>
          <w:b w:val="0"/>
          <w:i w:val="0"/>
        </w:rPr>
        <w:t xml:space="preserve"> MWh，求解容差下限为 </w:t>
      </w:r>
      <w:r>
        <w:drawing>
          <wp:inline xmlns:a="http://schemas.openxmlformats.org/drawingml/2006/main" xmlns:pic="http://schemas.openxmlformats.org/drawingml/2006/picture">
            <wp:extent cx="313975" cy="140242"/>
            <wp:docPr id="129" name="Picture 129"/>
            <wp:cNvGraphicFramePr>
              <a:graphicFrameLocks noChangeAspect="1"/>
            </wp:cNvGraphicFramePr>
            <a:graphic>
              <a:graphicData uri="http://schemas.openxmlformats.org/drawingml/2006/picture">
                <pic:pic>
                  <pic:nvPicPr>
                    <pic:cNvPr id="0" name="eq-110.png"/>
                    <pic:cNvPicPr/>
                  </pic:nvPicPr>
                  <pic:blipFill>
                    <a:blip r:embed="rId114"/>
                    <a:stretch>
                      <a:fillRect/>
                    </a:stretch>
                  </pic:blipFill>
                  <pic:spPr>
                    <a:xfrm>
                      <a:off x="0" y="0"/>
                      <a:ext cx="313975" cy="140242"/>
                    </a:xfrm>
                    <a:prstGeom prst="rect"/>
                  </pic:spPr>
                </pic:pic>
              </a:graphicData>
            </a:graphic>
          </wp:inline>
        </w:drawing>
      </w:r>
      <w:r>
        <w:rPr>
          <w:b w:val="0"/>
          <w:i w:val="0"/>
        </w:rPr>
        <w:t xml:space="preserve">⁠。报价费用接纳上限为每期 1 GBP。后续求解保留前面目标的上界。HiGHS 对偶单纯形法启用预求解，原始与对偶容差均为 </w:t>
      </w:r>
      <w:r>
        <w:drawing>
          <wp:inline xmlns:a="http://schemas.openxmlformats.org/drawingml/2006/main" xmlns:pic="http://schemas.openxmlformats.org/drawingml/2006/picture">
            <wp:extent cx="313975" cy="140242"/>
            <wp:docPr id="130" name="Picture 130"/>
            <wp:cNvGraphicFramePr>
              <a:graphicFrameLocks noChangeAspect="1"/>
            </wp:cNvGraphicFramePr>
            <a:graphic>
              <a:graphicData uri="http://schemas.openxmlformats.org/drawingml/2006/picture">
                <pic:pic>
                  <pic:nvPicPr>
                    <pic:cNvPr id="0" name="eq-088.png"/>
                    <pic:cNvPicPr/>
                  </pic:nvPicPr>
                  <pic:blipFill>
                    <a:blip r:embed="rId93"/>
                    <a:stretch>
                      <a:fillRect/>
                    </a:stretch>
                  </pic:blipFill>
                  <pic:spPr>
                    <a:xfrm>
                      <a:off x="0" y="0"/>
                      <a:ext cx="313975" cy="140242"/>
                    </a:xfrm>
                    <a:prstGeom prst="rect"/>
                  </pic:spPr>
                </pic:pic>
              </a:graphicData>
            </a:graphic>
          </wp:inline>
        </w:drawing>
      </w:r>
      <w:r>
        <w:rPr>
          <w:b w:val="0"/>
          <w:i w:val="0"/>
        </w:rPr>
        <w:t xml:space="preserve">⁠，最终等式、不等式及变量界偏差至多为 </w:t>
      </w:r>
      <w:r>
        <w:drawing>
          <wp:inline xmlns:a="http://schemas.openxmlformats.org/drawingml/2006/main" xmlns:pic="http://schemas.openxmlformats.org/drawingml/2006/picture">
            <wp:extent cx="313975" cy="140242"/>
            <wp:docPr id="131" name="Picture 131"/>
            <wp:cNvGraphicFramePr>
              <a:graphicFrameLocks noChangeAspect="1"/>
            </wp:cNvGraphicFramePr>
            <a:graphic>
              <a:graphicData uri="http://schemas.openxmlformats.org/drawingml/2006/picture">
                <pic:pic>
                  <pic:nvPicPr>
                    <pic:cNvPr id="0" name="eq-131.png"/>
                    <pic:cNvPicPr/>
                  </pic:nvPicPr>
                  <pic:blipFill>
                    <a:blip r:embed="rId126"/>
                    <a:stretch>
                      <a:fillRect/>
                    </a:stretch>
                  </pic:blipFill>
                  <pic:spPr>
                    <a:xfrm>
                      <a:off x="0" y="0"/>
                      <a:ext cx="313975" cy="140242"/>
                    </a:xfrm>
                    <a:prstGeom prst="rect"/>
                  </pic:spPr>
                </pic:pic>
              </a:graphicData>
            </a:graphic>
          </wp:inline>
        </w:drawing>
      </w:r>
      <w:r>
        <w:rPr>
          <w:b w:val="0"/>
          <w:i w:val="0"/>
        </w:rPr>
        <w:t>⁠。</w:t>
      </w:r>
    </w:p>
    <w:p>
      <w:pPr>
        <w:keepLines/>
        <w:spacing w:line="276" w:lineRule="auto" w:after="160"/>
      </w:pPr>
      <w:r>
        <w:rPr>
          <w:rFonts w:ascii="DejaVu Sans Mono" w:hAnsi="DejaVu Sans Mono"/>
          <w:b w:val="0"/>
          <w:i w:val="0"/>
          <w:sz w:val="17"/>
        </w:rPr>
        <w:t>for period in the half-hour chronology:</w:t>
        <w:br/>
        <w:t xml:space="preserve">    align_​zonal_​demand(...): obtain zonal demand</w:t>
        <w:br/>
        <w:t xml:space="preserve">    build_​single_​period_​problem(...): build bids and physical constraints</w:t>
        <w:br/>
        <w:t xml:space="preserve">    solve_​lexicographic(problem):</w:t>
        <w:br/>
        <w:t xml:space="preserve">        minimise primary_objective; retain primary boundary marginals</w:t>
        <w:br/>
        <w:t xml:space="preserve">        lock_​primary_​shedding(...); bound bid_​cost_​coefficients(problem)</w:t>
        <w:br/>
        <w:t xml:space="preserve">        minimise secondary_objective; retain its objective bound</w:t>
        <w:br/>
        <w:t xml:space="preserve">        minimise physical_tie_objective; retain its objective bound</w:t>
        <w:br/>
        <w:t xml:space="preserve">        minimise stable_tie_objective; validate_solution(...)</w:t>
        <w:br/>
        <w:t xml:space="preserve">    solve_​network_​free_​counterfactual(...): compute matched comparison</w:t>
        <w:br/>
        <w:t xml:space="preserve">    record actual injections, storage inventory, flows, shortage and costs</w:t>
        <w:br/>
        <w:t xml:space="preserve">    pass final_soc_mwh_by_asset to the next period</w:t>
        <w:br/>
        <w:t>return all period results</w:t>
        <w:br/>
      </w:r>
    </w:p>
    <w:p>
      <w:pPr>
        <w:keepNext/>
      </w:pPr>
      <w:r>
        <w:rPr>
          <w:b w:val="0"/>
          <w:i w:val="0"/>
        </w:rPr>
        <w:t>边界边际价值表示第一目标对传输容量的响应。</w:t>
      </w:r>
      <w:r>
        <w:rPr>
          <w:rFonts w:ascii="DejaVu Sans Mono" w:hAnsi="DejaVu Sans Mono"/>
          <w:b w:val="0"/>
          <w:i w:val="0"/>
          <w:sz w:val="17"/>
        </w:rPr>
        <w:t>boundary_​marginal_​values</w:t>
      </w:r>
      <w:r>
        <w:rPr>
          <w:b w:val="0"/>
          <w:i w:val="0"/>
        </w:rPr>
        <w:t xml:space="preserve"> 在增加目标约束前读取正、反向容量行的对偶值：</w:t>
      </w:r>
    </w:p>
    <w:p>
      <w:pPr>
        <w:spacing w:after="160"/>
        <w:jc w:val="center"/>
      </w:pPr>
      <w:r>
        <w:drawing>
          <wp:inline xmlns:a="http://schemas.openxmlformats.org/drawingml/2006/main" xmlns:pic="http://schemas.openxmlformats.org/drawingml/2006/picture">
            <wp:extent cx="4971135" cy="180560"/>
            <wp:docPr id="132" name="Picture 132"/>
            <wp:cNvGraphicFramePr>
              <a:graphicFrameLocks noChangeAspect="1"/>
            </wp:cNvGraphicFramePr>
            <a:graphic>
              <a:graphicData uri="http://schemas.openxmlformats.org/drawingml/2006/picture">
                <pic:pic>
                  <pic:nvPicPr>
                    <pic:cNvPr id="0" name="eq-132.png"/>
                    <pic:cNvPicPr/>
                  </pic:nvPicPr>
                  <pic:blipFill>
                    <a:blip r:embed="rId127"/>
                    <a:stretch>
                      <a:fillRect/>
                    </a:stretch>
                  </pic:blipFill>
                  <pic:spPr>
                    <a:xfrm>
                      <a:off x="0" y="0"/>
                      <a:ext cx="4971135" cy="180560"/>
                    </a:xfrm>
                    <a:prstGeom prst="rect"/>
                  </pic:spPr>
                </pic:pic>
              </a:graphicData>
            </a:graphic>
          </wp:inline>
        </w:drawing>
      </w:r>
    </w:p>
    <w:p>
      <w:r>
        <w:rPr>
          <w:b w:val="0"/>
          <w:i w:val="0"/>
        </w:rPr>
        <w:t>边界价值为正对应正向限额生效，为负对应反向限额生效。多个生效边界共享走廊时，可有多组对偶分配对应同一最优解。年度输出还合计边界价值绝对值乘传输 MWh，作为拥塞量度。</w:t>
      </w:r>
    </w:p>
    <w:p>
      <w:pPr>
        <w:pStyle w:val="Heading2"/>
      </w:pPr>
      <w:r>
        <w:rPr>
          <w:b w:val="0"/>
          <w:i w:val="0"/>
        </w:rPr>
        <w:t>直流网络调度</w:t>
      </w:r>
    </w:p>
    <w:p>
      <w:pPr>
        <w:keepNext/>
      </w:pPr>
      <w:r>
        <w:rPr>
          <w:b w:val="0"/>
          <w:i w:val="0"/>
        </w:rPr>
        <w:t>直流网络模块在完整时序上联合选择发电、储能运行和节点电压相角。</w:t>
      </w:r>
      <w:r>
        <w:rPr>
          <w:rFonts w:ascii="DejaVu Sans Mono" w:hAnsi="DejaVu Sans Mono"/>
          <w:b w:val="0"/>
          <w:i w:val="0"/>
          <w:sz w:val="17"/>
        </w:rPr>
        <w:t>ReferenceDCNetworkPSM</w:t>
      </w:r>
      <w:r>
        <w:rPr>
          <w:b w:val="0"/>
          <w:i w:val="0"/>
        </w:rPr>
        <w:t xml:space="preserve"> 在 </w:t>
      </w:r>
      <w:r>
        <w:rPr>
          <w:rFonts w:ascii="DejaVu Sans Mono" w:hAnsi="DejaVu Sans Mono"/>
          <w:b w:val="0"/>
          <w:i w:val="0"/>
          <w:sz w:val="17"/>
        </w:rPr>
        <w:t>layout</w:t>
      </w:r>
      <w:r>
        <w:rPr>
          <w:b w:val="0"/>
          <w:i w:val="0"/>
        </w:rPr>
        <w:t xml:space="preserve"> 中建立 </w:t>
      </w:r>
      <w:r>
        <w:rPr>
          <w:rFonts w:ascii="DejaVu Sans Mono" w:hAnsi="DejaVu Sans Mono"/>
          <w:b w:val="0"/>
          <w:i w:val="0"/>
          <w:sz w:val="17"/>
        </w:rPr>
        <w:t>generation</w:t>
      </w:r>
      <w:r>
        <w:rPr>
          <w:b w:val="0"/>
          <w:i w:val="0"/>
        </w:rPr>
        <w:t>、</w:t>
      </w:r>
      <w:r>
        <w:rPr>
          <w:rFonts w:ascii="DejaVu Sans Mono" w:hAnsi="DejaVu Sans Mono"/>
          <w:b w:val="0"/>
          <w:i w:val="0"/>
          <w:sz w:val="17"/>
        </w:rPr>
        <w:t>charge</w:t>
      </w:r>
      <w:r>
        <w:rPr>
          <w:b w:val="0"/>
          <w:i w:val="0"/>
        </w:rPr>
        <w:t>、</w:t>
      </w:r>
      <w:r>
        <w:rPr>
          <w:rFonts w:ascii="DejaVu Sans Mono" w:hAnsi="DejaVu Sans Mono"/>
          <w:b w:val="0"/>
          <w:i w:val="0"/>
          <w:sz w:val="17"/>
        </w:rPr>
        <w:t>discharge</w:t>
      </w:r>
      <w:r>
        <w:rPr>
          <w:b w:val="0"/>
          <w:i w:val="0"/>
        </w:rPr>
        <w:t>、</w:t>
      </w:r>
      <w:r>
        <w:rPr>
          <w:rFonts w:ascii="DejaVu Sans Mono" w:hAnsi="DejaVu Sans Mono"/>
          <w:b w:val="0"/>
          <w:i w:val="0"/>
          <w:sz w:val="17"/>
        </w:rPr>
        <w:t>soc</w:t>
      </w:r>
      <w:r>
        <w:rPr>
          <w:b w:val="0"/>
          <w:i w:val="0"/>
        </w:rPr>
        <w:t>、</w:t>
      </w:r>
      <w:r>
        <w:rPr>
          <w:rFonts w:ascii="DejaVu Sans Mono" w:hAnsi="DejaVu Sans Mono"/>
          <w:b w:val="0"/>
          <w:i w:val="0"/>
          <w:sz w:val="17"/>
        </w:rPr>
        <w:t>blackout</w:t>
      </w:r>
      <w:r>
        <w:rPr>
          <w:b w:val="0"/>
          <w:i w:val="0"/>
        </w:rPr>
        <w:t>、</w:t>
      </w:r>
      <w:r>
        <w:rPr>
          <w:rFonts w:ascii="DejaVu Sans Mono" w:hAnsi="DejaVu Sans Mono"/>
          <w:b w:val="0"/>
          <w:i w:val="0"/>
          <w:sz w:val="17"/>
        </w:rPr>
        <w:t>angle</w:t>
      </w:r>
      <w:r>
        <w:rPr>
          <w:b w:val="0"/>
          <w:i w:val="0"/>
        </w:rPr>
        <w:t xml:space="preserve"> 和 </w:t>
      </w:r>
      <w:r>
        <w:rPr>
          <w:rFonts w:ascii="DejaVu Sans Mono" w:hAnsi="DejaVu Sans Mono"/>
          <w:b w:val="0"/>
          <w:i w:val="0"/>
          <w:sz w:val="17"/>
        </w:rPr>
        <w:t>flow</w:t>
      </w:r>
      <w:r>
        <w:rPr>
          <w:b w:val="0"/>
          <w:i w:val="0"/>
        </w:rPr>
        <w:t xml:space="preserve"> 变量块，公式沿用这些名称表示其解值。前五项为 MWh，</w:t>
      </w:r>
      <w:r>
        <w:rPr>
          <w:rFonts w:ascii="DejaVu Sans Mono" w:hAnsi="DejaVu Sans Mono"/>
          <w:b w:val="0"/>
          <w:i w:val="0"/>
          <w:sz w:val="17"/>
        </w:rPr>
        <w:t>angle</w:t>
      </w:r>
      <w:r>
        <w:rPr>
          <w:b w:val="0"/>
          <w:i w:val="0"/>
        </w:rPr>
        <w:t xml:space="preserve"> 为弧度，</w:t>
      </w:r>
      <w:r>
        <w:rPr>
          <w:rFonts w:ascii="DejaVu Sans Mono" w:hAnsi="DejaVu Sans Mono"/>
          <w:b w:val="0"/>
          <w:i w:val="0"/>
          <w:sz w:val="17"/>
        </w:rPr>
        <w:t>flow</w:t>
      </w:r>
      <w:r>
        <w:rPr>
          <w:b w:val="0"/>
          <w:i w:val="0"/>
        </w:rPr>
        <w:t xml:space="preserve"> 为 MW。资源、储能、节点、支路和时段索引为 </w:t>
      </w:r>
      <w:r>
        <w:drawing>
          <wp:inline xmlns:a="http://schemas.openxmlformats.org/drawingml/2006/main" xmlns:pic="http://schemas.openxmlformats.org/drawingml/2006/picture">
            <wp:extent cx="608672" cy="140624"/>
            <wp:docPr id="133" name="Picture 133"/>
            <wp:cNvGraphicFramePr>
              <a:graphicFrameLocks noChangeAspect="1"/>
            </wp:cNvGraphicFramePr>
            <a:graphic>
              <a:graphicData uri="http://schemas.openxmlformats.org/drawingml/2006/picture">
                <pic:pic>
                  <pic:nvPicPr>
                    <pic:cNvPr id="0" name="eq-133.png"/>
                    <pic:cNvPicPr/>
                  </pic:nvPicPr>
                  <pic:blipFill>
                    <a:blip r:embed="rId128"/>
                    <a:stretch>
                      <a:fillRect/>
                    </a:stretch>
                  </pic:blipFill>
                  <pic:spPr>
                    <a:xfrm>
                      <a:off x="0" y="0"/>
                      <a:ext cx="608672" cy="140624"/>
                    </a:xfrm>
                    <a:prstGeom prst="rect"/>
                  </pic:spPr>
                </pic:pic>
              </a:graphicData>
            </a:graphic>
          </wp:inline>
        </w:drawing>
      </w:r>
      <w:r>
        <w:rPr>
          <w:b w:val="0"/>
          <w:i w:val="0"/>
        </w:rPr>
        <w:t>⁠。</w:t>
      </w:r>
      <w:r>
        <w:rPr>
          <w:rFonts w:ascii="DejaVu Sans Mono" w:hAnsi="DejaVu Sans Mono"/>
          <w:b w:val="0"/>
          <w:i w:val="0"/>
          <w:sz w:val="17"/>
        </w:rPr>
        <w:t>marginal_costs</w:t>
      </w:r>
      <w:r>
        <w:rPr>
          <w:b w:val="0"/>
          <w:i w:val="0"/>
        </w:rPr>
        <w:t>、</w:t>
      </w:r>
      <w:r>
        <w:rPr>
          <w:rFonts w:ascii="DejaVu Sans Mono" w:hAnsi="DejaVu Sans Mono"/>
          <w:b w:val="0"/>
          <w:i w:val="0"/>
          <w:sz w:val="17"/>
        </w:rPr>
        <w:t>variable_​degradation_​gbp_​per_​mwh_​discharged</w:t>
      </w:r>
      <w:r>
        <w:rPr>
          <w:b w:val="0"/>
          <w:i w:val="0"/>
        </w:rPr>
        <w:t xml:space="preserve"> 和 </w:t>
      </w:r>
      <w:r>
        <w:rPr>
          <w:rFonts w:ascii="DejaVu Sans Mono" w:hAnsi="DejaVu Sans Mono"/>
          <w:b w:val="0"/>
          <w:i w:val="0"/>
          <w:sz w:val="17"/>
        </w:rPr>
        <w:t>voll_gbp_per_mwh</w:t>
      </w:r>
      <w:r>
        <w:rPr>
          <w:b w:val="0"/>
          <w:i w:val="0"/>
        </w:rPr>
        <w:t xml:space="preserve"> 的单位为 GBP/MWh。固定装机下的运行支出为</w:t>
      </w:r>
    </w:p>
    <w:p>
      <w:pPr>
        <w:spacing w:after="160"/>
        <w:jc w:val="center"/>
      </w:pPr>
      <w:r>
        <w:drawing>
          <wp:inline xmlns:a="http://schemas.openxmlformats.org/drawingml/2006/main" xmlns:pic="http://schemas.openxmlformats.org/drawingml/2006/picture">
            <wp:extent cx="5594299" cy="1268834"/>
            <wp:docPr id="134" name="Picture 134"/>
            <wp:cNvGraphicFramePr>
              <a:graphicFrameLocks noChangeAspect="1"/>
            </wp:cNvGraphicFramePr>
            <a:graphic>
              <a:graphicData uri="http://schemas.openxmlformats.org/drawingml/2006/picture">
                <pic:pic>
                  <pic:nvPicPr>
                    <pic:cNvPr id="0" name="eq-134.png"/>
                    <pic:cNvPicPr/>
                  </pic:nvPicPr>
                  <pic:blipFill>
                    <a:blip r:embed="rId129"/>
                    <a:stretch>
                      <a:fillRect/>
                    </a:stretch>
                  </pic:blipFill>
                  <pic:spPr>
                    <a:xfrm>
                      <a:off x="0" y="0"/>
                      <a:ext cx="5594299" cy="1268834"/>
                    </a:xfrm>
                    <a:prstGeom prst="rect"/>
                  </pic:spPr>
                </pic:pic>
              </a:graphicData>
            </a:graphic>
          </wp:inline>
        </w:drawing>
      </w:r>
    </w:p>
    <w:p>
      <w:r>
        <w:rPr>
          <w:b w:val="0"/>
          <w:i w:val="0"/>
        </w:rPr>
        <w:t xml:space="preserve">跨节点资产通过 </w:t>
      </w:r>
      <w:r>
        <w:rPr>
          <w:rFonts w:ascii="DejaVu Sans Mono" w:hAnsi="DejaVu Sans Mono"/>
          <w:b w:val="0"/>
          <w:i w:val="0"/>
          <w:sz w:val="17"/>
        </w:rPr>
        <w:t>expand_share_mappings</w:t>
      </w:r>
      <w:r>
        <w:rPr>
          <w:b w:val="0"/>
          <w:i w:val="0"/>
        </w:rPr>
        <w:t xml:space="preserve"> 拆为各位置独立的资源单元。每项资产的映射字段 </w:t>
      </w:r>
      <w:r>
        <w:rPr>
          <w:rFonts w:ascii="DejaVu Sans Mono" w:hAnsi="DejaVu Sans Mono"/>
          <w:b w:val="0"/>
          <w:i w:val="0"/>
          <w:sz w:val="17"/>
        </w:rPr>
        <w:t>share</w:t>
      </w:r>
      <w:r>
        <w:rPr>
          <w:b w:val="0"/>
          <w:i w:val="0"/>
        </w:rPr>
        <w:t xml:space="preserve"> 合计为 1，按份额缩放发电装机、储能充放电功率、电量容量和期初库存。求解器在指定节点调度这些单元，再按原资产汇总。VoLL 读取 </w:t>
      </w:r>
      <w:r>
        <w:rPr>
          <w:rFonts w:ascii="DejaVu Sans Mono" w:hAnsi="DejaVu Sans Mono"/>
          <w:b w:val="0"/>
          <w:i w:val="0"/>
          <w:sz w:val="17"/>
        </w:rPr>
        <w:t>market.voll_gbp_per_mwh</w:t>
      </w:r>
      <w:r>
        <w:rPr>
          <w:b w:val="0"/>
          <w:i w:val="0"/>
        </w:rPr>
        <w:t>，默认 17,000 GBP/MWh。</w:t>
      </w:r>
    </w:p>
    <w:p>
      <w:pPr>
        <w:keepNext/>
      </w:pPr>
      <w:r>
        <w:rPr>
          <w:b w:val="0"/>
          <w:i w:val="0"/>
        </w:rPr>
        <w:t xml:space="preserve">节点守恒用 </w:t>
      </w:r>
      <w:r>
        <w:rPr>
          <w:rFonts w:ascii="DejaVu Sans Mono" w:hAnsi="DejaVu Sans Mono"/>
          <w:b w:val="0"/>
          <w:i w:val="0"/>
          <w:sz w:val="17"/>
        </w:rPr>
        <w:t>period_hours</w:t>
      </w:r>
      <w:r>
        <w:rPr>
          <w:b w:val="0"/>
          <w:i w:val="0"/>
        </w:rPr>
        <w:t xml:space="preserve"> 将支路功率换为电量。对节点 </w:t>
      </w:r>
      <w:r>
        <w:drawing>
          <wp:inline xmlns:a="http://schemas.openxmlformats.org/drawingml/2006/main" xmlns:pic="http://schemas.openxmlformats.org/drawingml/2006/picture">
            <wp:extent cx="94786" cy="71616"/>
            <wp:docPr id="135" name="Picture 135"/>
            <wp:cNvGraphicFramePr>
              <a:graphicFrameLocks noChangeAspect="1"/>
            </wp:cNvGraphicFramePr>
            <a:graphic>
              <a:graphicData uri="http://schemas.openxmlformats.org/drawingml/2006/picture">
                <pic:pic>
                  <pic:nvPicPr>
                    <pic:cNvPr id="0" name="eq-048.png"/>
                    <pic:cNvPicPr/>
                  </pic:nvPicPr>
                  <pic:blipFill>
                    <a:blip r:embed="rId58"/>
                    <a:stretch>
                      <a:fillRect/>
                    </a:stretch>
                  </pic:blipFill>
                  <pic:spPr>
                    <a:xfrm>
                      <a:off x="0" y="0"/>
                      <a:ext cx="94786" cy="71616"/>
                    </a:xfrm>
                    <a:prstGeom prst="rect"/>
                  </pic:spPr>
                </pic:pic>
              </a:graphicData>
            </a:graphic>
          </wp:inline>
        </w:drawing>
      </w:r>
      <w:r>
        <w:rPr>
          <w:b w:val="0"/>
          <w:i w:val="0"/>
        </w:rPr>
        <w:t xml:space="preserve"> 上的单元，</w:t>
      </w:r>
    </w:p>
    <w:p>
      <w:pPr>
        <w:spacing w:after="160"/>
        <w:jc w:val="center"/>
      </w:pPr>
      <w:r>
        <w:drawing>
          <wp:inline xmlns:a="http://schemas.openxmlformats.org/drawingml/2006/main" xmlns:pic="http://schemas.openxmlformats.org/drawingml/2006/picture">
            <wp:extent cx="6217920" cy="709643"/>
            <wp:docPr id="136" name="Picture 136"/>
            <wp:cNvGraphicFramePr>
              <a:graphicFrameLocks noChangeAspect="1"/>
            </wp:cNvGraphicFramePr>
            <a:graphic>
              <a:graphicData uri="http://schemas.openxmlformats.org/drawingml/2006/picture">
                <pic:pic>
                  <pic:nvPicPr>
                    <pic:cNvPr id="0" name="eq-136.png"/>
                    <pic:cNvPicPr/>
                  </pic:nvPicPr>
                  <pic:blipFill>
                    <a:blip r:embed="rId130"/>
                    <a:stretch>
                      <a:fillRect/>
                    </a:stretch>
                  </pic:blipFill>
                  <pic:spPr>
                    <a:xfrm>
                      <a:off x="0" y="0"/>
                      <a:ext cx="6217920" cy="709643"/>
                    </a:xfrm>
                    <a:prstGeom prst="rect"/>
                  </pic:spPr>
                </pic:pic>
              </a:graphicData>
            </a:graphic>
          </wp:inline>
        </w:drawing>
      </w:r>
    </w:p>
    <w:p>
      <w:pPr>
        <w:keepNext/>
      </w:pPr>
      <w:r>
        <w:rPr>
          <w:b w:val="0"/>
          <w:i w:val="0"/>
        </w:rPr>
        <w:t xml:space="preserve">资源上界为 </w:t>
      </w:r>
      <w:r>
        <w:rPr>
          <w:rFonts w:ascii="DejaVu Sans Mono" w:hAnsi="DejaVu Sans Mono"/>
          <w:b w:val="0"/>
          <w:i w:val="0"/>
          <w:sz w:val="17"/>
        </w:rPr>
        <w:t>capacity_mw</w:t>
      </w:r>
      <w:r>
        <w:rPr>
          <w:b w:val="0"/>
          <w:i w:val="0"/>
        </w:rPr>
        <w:t>、</w:t>
      </w:r>
      <w:r>
        <w:rPr>
          <w:rFonts w:ascii="DejaVu Sans Mono" w:hAnsi="DejaVu Sans Mono"/>
          <w:b w:val="0"/>
          <w:i w:val="0"/>
          <w:sz w:val="17"/>
        </w:rPr>
        <w:t>share</w:t>
      </w:r>
      <w:r>
        <w:rPr>
          <w:b w:val="0"/>
          <w:i w:val="0"/>
        </w:rPr>
        <w:t>、</w:t>
      </w:r>
      <w:r>
        <w:rPr>
          <w:rFonts w:ascii="DejaVu Sans Mono" w:hAnsi="DejaVu Sans Mono"/>
          <w:b w:val="0"/>
          <w:i w:val="0"/>
          <w:sz w:val="17"/>
        </w:rPr>
        <w:t>availability</w:t>
      </w:r>
      <w:r>
        <w:rPr>
          <w:b w:val="0"/>
          <w:i w:val="0"/>
        </w:rPr>
        <w:t xml:space="preserve"> 与 </w:t>
      </w:r>
      <w:r>
        <w:rPr>
          <w:rFonts w:ascii="DejaVu Sans Mono" w:hAnsi="DejaVu Sans Mono"/>
          <w:b w:val="0"/>
          <w:i w:val="0"/>
          <w:sz w:val="17"/>
        </w:rPr>
        <w:t>period_hours</w:t>
      </w:r>
      <w:r>
        <w:rPr>
          <w:b w:val="0"/>
          <w:i w:val="0"/>
        </w:rPr>
        <w:t xml:space="preserve"> 的乘积。储能按相同映射份额采用第 8 章的充放电和库存约束，库存更新为</w:t>
      </w:r>
    </w:p>
    <w:p>
      <w:pPr>
        <w:spacing w:after="160"/>
        <w:jc w:val="center"/>
      </w:pPr>
      <w:r>
        <w:drawing>
          <wp:inline xmlns:a="http://schemas.openxmlformats.org/drawingml/2006/main" xmlns:pic="http://schemas.openxmlformats.org/drawingml/2006/picture">
            <wp:extent cx="3460394" cy="441120"/>
            <wp:docPr id="137" name="Picture 137"/>
            <wp:cNvGraphicFramePr>
              <a:graphicFrameLocks noChangeAspect="1"/>
            </wp:cNvGraphicFramePr>
            <a:graphic>
              <a:graphicData uri="http://schemas.openxmlformats.org/drawingml/2006/picture">
                <pic:pic>
                  <pic:nvPicPr>
                    <pic:cNvPr id="0" name="eq-137.png"/>
                    <pic:cNvPicPr/>
                  </pic:nvPicPr>
                  <pic:blipFill>
                    <a:blip r:embed="rId131"/>
                    <a:stretch>
                      <a:fillRect/>
                    </a:stretch>
                  </pic:blipFill>
                  <pic:spPr>
                    <a:xfrm>
                      <a:off x="0" y="0"/>
                      <a:ext cx="3460394" cy="441120"/>
                    </a:xfrm>
                    <a:prstGeom prst="rect"/>
                  </pic:spPr>
                </pic:pic>
              </a:graphicData>
            </a:graphic>
          </wp:inline>
        </w:drawing>
      </w:r>
    </w:p>
    <w:p>
      <w:r>
        <w:rPr>
          <w:b w:val="0"/>
          <w:i w:val="0"/>
        </w:rPr>
        <w:t xml:space="preserve">期末规则可以为自由、等于期初库存的循环规则，或固定目标。启用 </w:t>
      </w:r>
      <w:r>
        <w:rPr>
          <w:rFonts w:ascii="DejaVu Sans Mono" w:hAnsi="DejaVu Sans Mono"/>
          <w:b w:val="0"/>
          <w:i w:val="0"/>
          <w:sz w:val="17"/>
        </w:rPr>
        <w:t>allow_blackout</w:t>
      </w:r>
      <w:r>
        <w:rPr>
          <w:b w:val="0"/>
          <w:i w:val="0"/>
        </w:rPr>
        <w:t xml:space="preserve"> 时，缺电介于零与节点需求之间，其余情况固定为零。资源可用率位于 </w:t>
      </w:r>
      <w:r>
        <w:drawing>
          <wp:inline xmlns:a="http://schemas.openxmlformats.org/drawingml/2006/main" xmlns:pic="http://schemas.openxmlformats.org/drawingml/2006/picture">
            <wp:extent cx="316141" cy="157024"/>
            <wp:docPr id="138" name="Picture 138"/>
            <wp:cNvGraphicFramePr>
              <a:graphicFrameLocks noChangeAspect="1"/>
            </wp:cNvGraphicFramePr>
            <a:graphic>
              <a:graphicData uri="http://schemas.openxmlformats.org/drawingml/2006/picture">
                <pic:pic>
                  <pic:nvPicPr>
                    <pic:cNvPr id="0" name="eq-138.png"/>
                    <pic:cNvPicPr/>
                  </pic:nvPicPr>
                  <pic:blipFill>
                    <a:blip r:embed="rId132"/>
                    <a:stretch>
                      <a:fillRect/>
                    </a:stretch>
                  </pic:blipFill>
                  <pic:spPr>
                    <a:xfrm>
                      <a:off x="0" y="0"/>
                      <a:ext cx="316141" cy="157024"/>
                    </a:xfrm>
                    <a:prstGeom prst="rect"/>
                  </pic:spPr>
                </pic:pic>
              </a:graphicData>
            </a:graphic>
          </wp:inline>
        </w:drawing>
      </w:r>
      <w:r>
        <w:rPr>
          <w:b w:val="0"/>
          <w:i w:val="0"/>
        </w:rPr>
        <w:t>⁠，边际费用非负。</w:t>
      </w:r>
    </w:p>
    <w:p>
      <w:pPr>
        <w:keepNext/>
      </w:pPr>
      <w:r>
        <w:rPr>
          <w:b w:val="0"/>
          <w:i w:val="0"/>
        </w:rPr>
        <w:t>交流线路与变压器采用声明的等效电抗及相角差。</w:t>
      </w:r>
      <w:r>
        <w:rPr>
          <w:rFonts w:ascii="DejaVu Sans Mono" w:hAnsi="DejaVu Sans Mono"/>
          <w:b w:val="0"/>
          <w:i w:val="0"/>
          <w:sz w:val="17"/>
        </w:rPr>
        <w:t>base_mva</w:t>
      </w:r>
      <w:r>
        <w:rPr>
          <w:b w:val="0"/>
          <w:i w:val="0"/>
        </w:rPr>
        <w:t xml:space="preserve"> 默认 100 MVA，</w:t>
      </w:r>
      <w:r>
        <w:rPr>
          <w:rFonts w:ascii="DejaVu Sans Mono" w:hAnsi="DejaVu Sans Mono"/>
          <w:b w:val="0"/>
          <w:i w:val="0"/>
          <w:sz w:val="17"/>
        </w:rPr>
        <w:t>tap</w:t>
      </w:r>
      <w:r>
        <w:rPr>
          <w:b w:val="0"/>
          <w:i w:val="0"/>
        </w:rPr>
        <w:t xml:space="preserve"> 默认 1，</w:t>
      </w:r>
      <w:r>
        <w:rPr>
          <w:rFonts w:ascii="DejaVu Sans Mono" w:hAnsi="DejaVu Sans Mono"/>
          <w:b w:val="0"/>
          <w:i w:val="0"/>
          <w:sz w:val="17"/>
        </w:rPr>
        <w:t>phase</w:t>
      </w:r>
      <w:r>
        <w:rPr>
          <w:b w:val="0"/>
          <w:i w:val="0"/>
        </w:rPr>
        <w:t xml:space="preserve"> 将 </w:t>
      </w:r>
      <w:r>
        <w:rPr>
          <w:rFonts w:ascii="DejaVu Sans Mono" w:hAnsi="DejaVu Sans Mono"/>
          <w:b w:val="0"/>
          <w:i w:val="0"/>
          <w:sz w:val="17"/>
        </w:rPr>
        <w:t>phase_shift_degrees</w:t>
      </w:r>
      <w:r>
        <w:rPr>
          <w:b w:val="0"/>
          <w:i w:val="0"/>
        </w:rPr>
        <w:t xml:space="preserve"> 换为弧度：</w:t>
      </w:r>
    </w:p>
    <w:p>
      <w:pPr>
        <w:spacing w:after="160"/>
        <w:jc w:val="center"/>
      </w:pPr>
      <w:r>
        <w:drawing>
          <wp:inline xmlns:a="http://schemas.openxmlformats.org/drawingml/2006/main" xmlns:pic="http://schemas.openxmlformats.org/drawingml/2006/picture">
            <wp:extent cx="5112867" cy="870810"/>
            <wp:docPr id="139" name="Picture 139"/>
            <wp:cNvGraphicFramePr>
              <a:graphicFrameLocks noChangeAspect="1"/>
            </wp:cNvGraphicFramePr>
            <a:graphic>
              <a:graphicData uri="http://schemas.openxmlformats.org/drawingml/2006/picture">
                <pic:pic>
                  <pic:nvPicPr>
                    <pic:cNvPr id="0" name="eq-139.png"/>
                    <pic:cNvPicPr/>
                  </pic:nvPicPr>
                  <pic:blipFill>
                    <a:blip r:embed="rId133"/>
                    <a:stretch>
                      <a:fillRect/>
                    </a:stretch>
                  </pic:blipFill>
                  <pic:spPr>
                    <a:xfrm>
                      <a:off x="0" y="0"/>
                      <a:ext cx="5112867" cy="870810"/>
                    </a:xfrm>
                    <a:prstGeom prst="rect"/>
                  </pic:spPr>
                </pic:pic>
              </a:graphicData>
            </a:graphic>
          </wp:inline>
        </w:drawing>
      </w:r>
    </w:p>
    <w:p>
      <w:r>
        <w:rPr>
          <w:b w:val="0"/>
          <w:i w:val="0"/>
        </w:rPr>
        <w:t xml:space="preserve">回路数缩放热容量，声明的等效电抗进入相角方程。每个电气孤岛有一个零相角参考节点，其余相角位于 </w:t>
      </w:r>
      <w:r>
        <w:drawing>
          <wp:inline xmlns:a="http://schemas.openxmlformats.org/drawingml/2006/main" xmlns:pic="http://schemas.openxmlformats.org/drawingml/2006/picture">
            <wp:extent cx="461219" cy="157234"/>
            <wp:docPr id="140" name="Picture 140"/>
            <wp:cNvGraphicFramePr>
              <a:graphicFrameLocks noChangeAspect="1"/>
            </wp:cNvGraphicFramePr>
            <a:graphic>
              <a:graphicData uri="http://schemas.openxmlformats.org/drawingml/2006/picture">
                <pic:pic>
                  <pic:nvPicPr>
                    <pic:cNvPr id="0" name="eq-140.png"/>
                    <pic:cNvPicPr/>
                  </pic:nvPicPr>
                  <pic:blipFill>
                    <a:blip r:embed="rId134"/>
                    <a:stretch>
                      <a:fillRect/>
                    </a:stretch>
                  </pic:blipFill>
                  <pic:spPr>
                    <a:xfrm>
                      <a:off x="0" y="0"/>
                      <a:ext cx="461219" cy="157234"/>
                    </a:xfrm>
                    <a:prstGeom prst="rect"/>
                  </pic:spPr>
                </pic:pic>
              </a:graphicData>
            </a:graphic>
          </wp:inline>
        </w:drawing>
      </w:r>
      <w:r>
        <w:rPr>
          <w:b w:val="0"/>
          <w:i w:val="0"/>
        </w:rPr>
        <w:t>⁠。停运支路流量为零，直流联络线以声明范围内的可控流量进入节点平衡。</w:t>
      </w:r>
    </w:p>
    <w:p>
      <w:r>
        <w:rPr>
          <w:b w:val="0"/>
          <w:i w:val="0"/>
        </w:rPr>
        <w:t xml:space="preserve">HiGHS 在一次线性规划中求解全部时段，原始与对偶容差为 </w:t>
      </w:r>
      <w:r>
        <w:drawing>
          <wp:inline xmlns:a="http://schemas.openxmlformats.org/drawingml/2006/main" xmlns:pic="http://schemas.openxmlformats.org/drawingml/2006/picture">
            <wp:extent cx="313975" cy="140242"/>
            <wp:docPr id="141" name="Picture 141"/>
            <wp:cNvGraphicFramePr>
              <a:graphicFrameLocks noChangeAspect="1"/>
            </wp:cNvGraphicFramePr>
            <a:graphic>
              <a:graphicData uri="http://schemas.openxmlformats.org/drawingml/2006/picture">
                <pic:pic>
                  <pic:nvPicPr>
                    <pic:cNvPr id="0" name="eq-110.png"/>
                    <pic:cNvPicPr/>
                  </pic:nvPicPr>
                  <pic:blipFill>
                    <a:blip r:embed="rId114"/>
                    <a:stretch>
                      <a:fillRect/>
                    </a:stretch>
                  </pic:blipFill>
                  <pic:spPr>
                    <a:xfrm>
                      <a:off x="0" y="0"/>
                      <a:ext cx="313975" cy="140242"/>
                    </a:xfrm>
                    <a:prstGeom prst="rect"/>
                  </pic:spPr>
                </pic:pic>
              </a:graphicData>
            </a:graphic>
          </wp:inline>
        </w:drawing>
      </w:r>
      <w:r>
        <w:rPr>
          <w:b w:val="0"/>
          <w:i w:val="0"/>
        </w:rPr>
        <w:t xml:space="preserve">⁠，完成条件为求解状态最优且等式残差至多为 </w:t>
      </w:r>
      <w:r>
        <w:drawing>
          <wp:inline xmlns:a="http://schemas.openxmlformats.org/drawingml/2006/main" xmlns:pic="http://schemas.openxmlformats.org/drawingml/2006/picture">
            <wp:extent cx="313975" cy="140242"/>
            <wp:docPr id="142" name="Picture 142"/>
            <wp:cNvGraphicFramePr>
              <a:graphicFrameLocks noChangeAspect="1"/>
            </wp:cNvGraphicFramePr>
            <a:graphic>
              <a:graphicData uri="http://schemas.openxmlformats.org/drawingml/2006/picture">
                <pic:pic>
                  <pic:nvPicPr>
                    <pic:cNvPr id="0" name="eq-131.png"/>
                    <pic:cNvPicPr/>
                  </pic:nvPicPr>
                  <pic:blipFill>
                    <a:blip r:embed="rId126"/>
                    <a:stretch>
                      <a:fillRect/>
                    </a:stretch>
                  </pic:blipFill>
                  <pic:spPr>
                    <a:xfrm>
                      <a:off x="0" y="0"/>
                      <a:ext cx="313975" cy="140242"/>
                    </a:xfrm>
                    <a:prstGeom prst="rect"/>
                  </pic:spPr>
                </pic:pic>
              </a:graphicData>
            </a:graphic>
          </wp:inline>
        </w:drawing>
      </w:r>
      <w:r>
        <w:rPr>
          <w:b w:val="0"/>
          <w:i w:val="0"/>
        </w:rPr>
        <w:t>⁠。节点电量平衡的对偶值给出 GBP/MWh 边际运行价格，系统显示价格按需求加权。输出包括完整时域的期间调度、储能库存、节点价格和支路流量。</w:t>
      </w:r>
    </w:p>
    <w:p>
      <w:pPr>
        <w:pStyle w:val="Heading2"/>
      </w:pPr>
      <w:r>
        <w:rPr>
          <w:b w:val="0"/>
          <w:i w:val="0"/>
        </w:rPr>
        <w:t>交流可行性计算</w:t>
      </w:r>
    </w:p>
    <w:p>
      <w:r>
        <w:rPr>
          <w:b w:val="0"/>
          <w:i w:val="0"/>
        </w:rPr>
        <w:t>交流模块计算给定有功计划下的稳态潮流。输入包含有功与无功需求、发电机有功和无功限额、电压设定、支路阻抗与充电电纳、固定变比及相移、电压范围和 MVA 额定值。每个电气孤岛有一个平衡资产，PV 和平衡节点配置发电机，同一节点的发电机采用共同电压设定。储能按给定的有功充放电计划运行。PQ 节点根据给定有功与无功注入求电压幅值和相角；PV 节点固定电压幅值及有功；各平衡节点固定电压幅值和零相角，并平衡所在孤岛。</w:t>
      </w:r>
    </w:p>
    <w:p>
      <w:pPr>
        <w:keepNext/>
      </w:pPr>
      <w:r>
        <w:rPr>
          <w:b w:val="0"/>
          <w:i w:val="0"/>
        </w:rPr>
        <w:t>节点复功率由求得的电压及节点导纳矩阵计算。</w:t>
      </w:r>
      <w:r>
        <w:rPr>
          <w:rFonts w:ascii="DejaVu Sans Mono" w:hAnsi="DejaVu Sans Mono"/>
          <w:b w:val="0"/>
          <w:i w:val="0"/>
          <w:sz w:val="17"/>
        </w:rPr>
        <w:t>vm</w:t>
      </w:r>
      <w:r>
        <w:rPr>
          <w:b w:val="0"/>
          <w:i w:val="0"/>
        </w:rPr>
        <w:t xml:space="preserve"> 为标幺电压幅值，</w:t>
      </w:r>
      <w:r>
        <w:rPr>
          <w:rFonts w:ascii="DejaVu Sans Mono" w:hAnsi="DejaVu Sans Mono"/>
          <w:b w:val="0"/>
          <w:i w:val="0"/>
          <w:sz w:val="17"/>
        </w:rPr>
        <w:t>theta</w:t>
      </w:r>
      <w:r>
        <w:rPr>
          <w:b w:val="0"/>
          <w:i w:val="0"/>
        </w:rPr>
        <w:t xml:space="preserve"> 为弧度，</w:t>
      </w:r>
      <w:r>
        <w:rPr>
          <w:rFonts w:ascii="DejaVu Sans Mono" w:hAnsi="DejaVu Sans Mono"/>
          <w:b w:val="0"/>
          <w:i w:val="0"/>
          <w:sz w:val="17"/>
        </w:rPr>
        <w:t>voltage</w:t>
      </w:r>
      <w:r>
        <w:rPr>
          <w:b w:val="0"/>
          <w:i w:val="0"/>
        </w:rPr>
        <w:t xml:space="preserve"> 为复数标幺电压，</w:t>
      </w:r>
      <w:r>
        <w:rPr>
          <w:rFonts w:ascii="DejaVu Sans Mono" w:hAnsi="DejaVu Sans Mono"/>
          <w:b w:val="0"/>
          <w:i w:val="0"/>
          <w:sz w:val="17"/>
        </w:rPr>
        <w:t>injection</w:t>
      </w:r>
      <w:r>
        <w:rPr>
          <w:b w:val="0"/>
          <w:i w:val="0"/>
        </w:rPr>
        <w:t xml:space="preserve"> 的实部和虚部分别为 MW、Mvar。</w:t>
      </w:r>
      <w:r>
        <w:rPr>
          <w:rFonts w:ascii="DejaVu Sans Mono" w:hAnsi="DejaVu Sans Mono"/>
          <w:b w:val="0"/>
          <w:i w:val="0"/>
          <w:sz w:val="17"/>
        </w:rPr>
        <w:t>ybus</w:t>
      </w:r>
      <w:r>
        <w:rPr>
          <w:b w:val="0"/>
          <w:i w:val="0"/>
        </w:rPr>
        <w:t xml:space="preserve"> 为 </w:t>
      </w:r>
      <w:r>
        <w:rPr>
          <w:rFonts w:ascii="DejaVu Sans Mono" w:hAnsi="DejaVu Sans Mono"/>
          <w:b w:val="0"/>
          <w:i w:val="0"/>
          <w:sz w:val="17"/>
        </w:rPr>
        <w:t>base_mva</w:t>
      </w:r>
      <w:r>
        <w:rPr>
          <w:b w:val="0"/>
          <w:i w:val="0"/>
        </w:rPr>
        <w:t xml:space="preserve"> 基准下的标幺导纳，</w:t>
      </w:r>
      <w:r>
        <w:drawing>
          <wp:inline xmlns:a="http://schemas.openxmlformats.org/drawingml/2006/main" xmlns:pic="http://schemas.openxmlformats.org/drawingml/2006/picture">
            <wp:extent cx="546785" cy="163407"/>
            <wp:docPr id="143" name="Picture 143"/>
            <wp:cNvGraphicFramePr>
              <a:graphicFrameLocks noChangeAspect="1"/>
            </wp:cNvGraphicFramePr>
            <a:graphic>
              <a:graphicData uri="http://schemas.openxmlformats.org/drawingml/2006/picture">
                <pic:pic>
                  <pic:nvPicPr>
                    <pic:cNvPr id="0" name="eq-143.png"/>
                    <pic:cNvPicPr/>
                  </pic:nvPicPr>
                  <pic:blipFill>
                    <a:blip r:embed="rId135"/>
                    <a:stretch>
                      <a:fillRect/>
                    </a:stretch>
                  </pic:blipFill>
                  <pic:spPr>
                    <a:xfrm>
                      <a:off x="0" y="0"/>
                      <a:ext cx="546785" cy="163407"/>
                    </a:xfrm>
                    <a:prstGeom prst="rect"/>
                  </pic:spPr>
                </pic:pic>
              </a:graphicData>
            </a:graphic>
          </wp:inline>
        </w:drawing>
      </w:r>
      <w:r>
        <w:rPr>
          <w:b w:val="0"/>
          <w:i w:val="0"/>
        </w:rPr>
        <w:t>⁠：</w:t>
      </w:r>
    </w:p>
    <w:p>
      <w:pPr>
        <w:spacing w:after="160"/>
        <w:jc w:val="center"/>
      </w:pPr>
      <w:r>
        <w:drawing>
          <wp:inline xmlns:a="http://schemas.openxmlformats.org/drawingml/2006/main" xmlns:pic="http://schemas.openxmlformats.org/drawingml/2006/picture">
            <wp:extent cx="4233062" cy="667416"/>
            <wp:docPr id="144" name="Picture 144"/>
            <wp:cNvGraphicFramePr>
              <a:graphicFrameLocks noChangeAspect="1"/>
            </wp:cNvGraphicFramePr>
            <a:graphic>
              <a:graphicData uri="http://schemas.openxmlformats.org/drawingml/2006/picture">
                <pic:pic>
                  <pic:nvPicPr>
                    <pic:cNvPr id="0" name="eq-144.png"/>
                    <pic:cNvPicPr/>
                  </pic:nvPicPr>
                  <pic:blipFill>
                    <a:blip r:embed="rId136"/>
                    <a:stretch>
                      <a:fillRect/>
                    </a:stretch>
                  </pic:blipFill>
                  <pic:spPr>
                    <a:xfrm>
                      <a:off x="0" y="0"/>
                      <a:ext cx="4233062" cy="667416"/>
                    </a:xfrm>
                    <a:prstGeom prst="rect"/>
                  </pic:spPr>
                </pic:pic>
              </a:graphicData>
            </a:graphic>
          </wp:inline>
        </w:drawing>
      </w:r>
    </w:p>
    <w:p>
      <w:pPr>
        <w:keepNext/>
      </w:pPr>
      <w:r>
        <w:rPr>
          <w:b w:val="0"/>
          <w:i w:val="0"/>
        </w:rPr>
        <w:t>支路采用 π 型阻抗表示。</w:t>
      </w:r>
      <w:r>
        <w:rPr>
          <w:rFonts w:ascii="DejaVu Sans Mono" w:hAnsi="DejaVu Sans Mono"/>
          <w:b w:val="0"/>
          <w:i w:val="0"/>
          <w:sz w:val="17"/>
        </w:rPr>
        <w:t>_ybus</w:t>
      </w:r>
      <w:r>
        <w:rPr>
          <w:b w:val="0"/>
          <w:i w:val="0"/>
        </w:rPr>
        <w:t xml:space="preserve"> 将 </w:t>
      </w:r>
      <w:r>
        <w:rPr>
          <w:rFonts w:ascii="DejaVu Sans Mono" w:hAnsi="DejaVu Sans Mono"/>
          <w:b w:val="0"/>
          <w:i w:val="0"/>
          <w:sz w:val="17"/>
        </w:rPr>
        <w:t>resistance_pu</w:t>
      </w:r>
      <w:r>
        <w:rPr>
          <w:b w:val="0"/>
          <w:i w:val="0"/>
        </w:rPr>
        <w:t xml:space="preserve"> 加 </w:t>
      </w:r>
      <w:r>
        <w:drawing>
          <wp:inline xmlns:a="http://schemas.openxmlformats.org/drawingml/2006/main" xmlns:pic="http://schemas.openxmlformats.org/drawingml/2006/picture">
            <wp:extent cx="65100" cy="136500"/>
            <wp:docPr id="145" name="Picture 145"/>
            <wp:cNvGraphicFramePr>
              <a:graphicFrameLocks noChangeAspect="1"/>
            </wp:cNvGraphicFramePr>
            <a:graphic>
              <a:graphicData uri="http://schemas.openxmlformats.org/drawingml/2006/picture">
                <pic:pic>
                  <pic:nvPicPr>
                    <pic:cNvPr id="0" name="eq-041.png"/>
                    <pic:cNvPicPr/>
                  </pic:nvPicPr>
                  <pic:blipFill>
                    <a:blip r:embed="rId51"/>
                    <a:stretch>
                      <a:fillRect/>
                    </a:stretch>
                  </pic:blipFill>
                  <pic:spPr>
                    <a:xfrm>
                      <a:off x="0" y="0"/>
                      <a:ext cx="65100" cy="136500"/>
                    </a:xfrm>
                    <a:prstGeom prst="rect"/>
                  </pic:spPr>
                </pic:pic>
              </a:graphicData>
            </a:graphic>
          </wp:inline>
        </w:drawing>
      </w:r>
      <w:r>
        <w:rPr>
          <w:b w:val="0"/>
          <w:i w:val="0"/>
        </w:rPr>
        <w:t xml:space="preserve"> 倍 </w:t>
      </w:r>
      <w:r>
        <w:rPr>
          <w:rFonts w:ascii="DejaVu Sans Mono" w:hAnsi="DejaVu Sans Mono"/>
          <w:b w:val="0"/>
          <w:i w:val="0"/>
          <w:sz w:val="17"/>
        </w:rPr>
        <w:t>reactance_pu</w:t>
      </w:r>
      <w:r>
        <w:rPr>
          <w:b w:val="0"/>
          <w:i w:val="0"/>
        </w:rPr>
        <w:t xml:space="preserve"> 后取倒数得到 </w:t>
      </w:r>
      <w:r>
        <w:rPr>
          <w:rFonts w:ascii="DejaVu Sans Mono" w:hAnsi="DejaVu Sans Mono"/>
          <w:b w:val="0"/>
          <w:i w:val="0"/>
          <w:sz w:val="17"/>
        </w:rPr>
        <w:t>series</w:t>
      </w:r>
      <w:r>
        <w:rPr>
          <w:b w:val="0"/>
          <w:i w:val="0"/>
        </w:rPr>
        <w:t>；</w:t>
      </w:r>
      <w:r>
        <w:rPr>
          <w:rFonts w:ascii="DejaVu Sans Mono" w:hAnsi="DejaVu Sans Mono"/>
          <w:b w:val="0"/>
          <w:i w:val="0"/>
          <w:sz w:val="17"/>
        </w:rPr>
        <w:t>charging</w:t>
      </w:r>
      <w:r>
        <w:rPr>
          <w:b w:val="0"/>
          <w:i w:val="0"/>
        </w:rPr>
        <w:t xml:space="preserve"> 为虚数充电电纳的一半；</w:t>
      </w:r>
      <w:r>
        <w:rPr>
          <w:rFonts w:ascii="DejaVu Sans Mono" w:hAnsi="DejaVu Sans Mono"/>
          <w:b w:val="0"/>
          <w:i w:val="0"/>
          <w:sz w:val="17"/>
        </w:rPr>
        <w:t>tap</w:t>
      </w:r>
      <w:r>
        <w:rPr>
          <w:b w:val="0"/>
          <w:i w:val="0"/>
        </w:rPr>
        <w:t xml:space="preserve"> 为变比乘复数相移因子。两端导纳为</w:t>
      </w:r>
    </w:p>
    <w:p>
      <w:pPr>
        <w:spacing w:after="160"/>
        <w:jc w:val="center"/>
      </w:pPr>
      <w:r>
        <w:drawing>
          <wp:inline xmlns:a="http://schemas.openxmlformats.org/drawingml/2006/main" xmlns:pic="http://schemas.openxmlformats.org/drawingml/2006/picture">
            <wp:extent cx="3124352" cy="674238"/>
            <wp:docPr id="146" name="Picture 146"/>
            <wp:cNvGraphicFramePr>
              <a:graphicFrameLocks noChangeAspect="1"/>
            </wp:cNvGraphicFramePr>
            <a:graphic>
              <a:graphicData uri="http://schemas.openxmlformats.org/drawingml/2006/picture">
                <pic:pic>
                  <pic:nvPicPr>
                    <pic:cNvPr id="0" name="eq-146.png"/>
                    <pic:cNvPicPr/>
                  </pic:nvPicPr>
                  <pic:blipFill>
                    <a:blip r:embed="rId137"/>
                    <a:stretch>
                      <a:fillRect/>
                    </a:stretch>
                  </pic:blipFill>
                  <pic:spPr>
                    <a:xfrm>
                      <a:off x="0" y="0"/>
                      <a:ext cx="3124352" cy="674238"/>
                    </a:xfrm>
                    <a:prstGeom prst="rect"/>
                  </pic:spPr>
                </pic:pic>
              </a:graphicData>
            </a:graphic>
          </wp:inline>
        </w:drawing>
      </w:r>
    </w:p>
    <w:p>
      <w:pPr>
        <w:keepNext/>
      </w:pPr>
      <w:r>
        <w:rPr>
          <w:b w:val="0"/>
          <w:i w:val="0"/>
        </w:rPr>
        <w:t xml:space="preserve">求解器拟合非平衡节点有功平衡与 PQ 节点无功平衡，固定 PV 和平衡节点电压幅值。平衡资产提供剩余有功和网损，节点无功发电受该节点发电机合计限额约束。两端复功率 </w:t>
      </w:r>
      <w:r>
        <w:rPr>
          <w:rFonts w:ascii="DejaVu Sans Mono" w:hAnsi="DejaVu Sans Mono"/>
          <w:b w:val="0"/>
          <w:i w:val="0"/>
          <w:sz w:val="17"/>
        </w:rPr>
        <w:t>s_from</w:t>
      </w:r>
      <w:r>
        <w:rPr>
          <w:b w:val="0"/>
          <w:i w:val="0"/>
        </w:rPr>
        <w:t xml:space="preserve"> 与 </w:t>
      </w:r>
      <w:r>
        <w:rPr>
          <w:rFonts w:ascii="DejaVu Sans Mono" w:hAnsi="DejaVu Sans Mono"/>
          <w:b w:val="0"/>
          <w:i w:val="0"/>
          <w:sz w:val="17"/>
        </w:rPr>
        <w:t>s_to</w:t>
      </w:r>
      <w:r>
        <w:rPr>
          <w:b w:val="0"/>
          <w:i w:val="0"/>
        </w:rPr>
        <w:t xml:space="preserve"> 包含 MW 与 Mvar，</w:t>
      </w:r>
      <w:r>
        <w:rPr>
          <w:rFonts w:ascii="DejaVu Sans Mono" w:hAnsi="DejaVu Sans Mono"/>
          <w:b w:val="0"/>
          <w:i w:val="0"/>
          <w:sz w:val="17"/>
        </w:rPr>
        <w:t>losses</w:t>
      </w:r>
      <w:r>
        <w:rPr>
          <w:b w:val="0"/>
          <w:i w:val="0"/>
        </w:rPr>
        <w:t xml:space="preserve"> 的单位为 MW；它们采用声明的端点 </w:t>
      </w:r>
      <w:r>
        <w:drawing>
          <wp:inline xmlns:a="http://schemas.openxmlformats.org/drawingml/2006/main" xmlns:pic="http://schemas.openxmlformats.org/drawingml/2006/picture">
            <wp:extent cx="214229" cy="144920"/>
            <wp:docPr id="147" name="Picture 147"/>
            <wp:cNvGraphicFramePr>
              <a:graphicFrameLocks noChangeAspect="1"/>
            </wp:cNvGraphicFramePr>
            <a:graphic>
              <a:graphicData uri="http://schemas.openxmlformats.org/drawingml/2006/picture">
                <pic:pic>
                  <pic:nvPicPr>
                    <pic:cNvPr id="0" name="eq-147.png"/>
                    <pic:cNvPicPr/>
                  </pic:nvPicPr>
                  <pic:blipFill>
                    <a:blip r:embed="rId138"/>
                    <a:stretch>
                      <a:fillRect/>
                    </a:stretch>
                  </pic:blipFill>
                  <pic:spPr>
                    <a:xfrm>
                      <a:off x="0" y="0"/>
                      <a:ext cx="214229" cy="144920"/>
                    </a:xfrm>
                    <a:prstGeom prst="rect"/>
                  </pic:spPr>
                </pic:pic>
              </a:graphicData>
            </a:graphic>
          </wp:inline>
        </w:drawing>
      </w:r>
      <w:r>
        <w:rPr>
          <w:b w:val="0"/>
          <w:i w:val="0"/>
        </w:rPr>
        <w:t>⁠：</w:t>
      </w:r>
    </w:p>
    <w:p>
      <w:pPr>
        <w:spacing w:after="160"/>
        <w:jc w:val="center"/>
      </w:pPr>
      <w:r>
        <w:drawing>
          <wp:inline xmlns:a="http://schemas.openxmlformats.org/drawingml/2006/main" xmlns:pic="http://schemas.openxmlformats.org/drawingml/2006/picture">
            <wp:extent cx="4493437" cy="761096"/>
            <wp:docPr id="148" name="Picture 148"/>
            <wp:cNvGraphicFramePr>
              <a:graphicFrameLocks noChangeAspect="1"/>
            </wp:cNvGraphicFramePr>
            <a:graphic>
              <a:graphicData uri="http://schemas.openxmlformats.org/drawingml/2006/picture">
                <pic:pic>
                  <pic:nvPicPr>
                    <pic:cNvPr id="0" name="eq-148.png"/>
                    <pic:cNvPicPr/>
                  </pic:nvPicPr>
                  <pic:blipFill>
                    <a:blip r:embed="rId139"/>
                    <a:stretch>
                      <a:fillRect/>
                    </a:stretch>
                  </pic:blipFill>
                  <pic:spPr>
                    <a:xfrm>
                      <a:off x="0" y="0"/>
                      <a:ext cx="4493437" cy="761096"/>
                    </a:xfrm>
                    <a:prstGeom prst="rect"/>
                  </pic:spPr>
                </pic:pic>
              </a:graphicData>
            </a:graphic>
          </wp:inline>
        </w:drawing>
      </w:r>
    </w:p>
    <w:p>
      <w:r>
        <w:rPr>
          <w:b w:val="0"/>
          <w:i w:val="0"/>
        </w:rPr>
        <w:t xml:space="preserve">两端视在功率均受 </w:t>
      </w:r>
      <w:r>
        <w:rPr>
          <w:rFonts w:ascii="DejaVu Sans Mono" w:hAnsi="DejaVu Sans Mono"/>
          <w:b w:val="0"/>
          <w:i w:val="0"/>
          <w:sz w:val="17"/>
        </w:rPr>
        <w:t>apparent_​power_​rating_​mva</w:t>
      </w:r>
      <w:r>
        <w:rPr>
          <w:b w:val="0"/>
          <w:i w:val="0"/>
        </w:rPr>
        <w:t xml:space="preserve"> 乘 </w:t>
      </w:r>
      <w:r>
        <w:rPr>
          <w:rFonts w:ascii="DejaVu Sans Mono" w:hAnsi="DejaVu Sans Mono"/>
          <w:b w:val="0"/>
          <w:i w:val="0"/>
          <w:sz w:val="17"/>
        </w:rPr>
        <w:t>circuits</w:t>
      </w:r>
      <w:r>
        <w:rPr>
          <w:b w:val="0"/>
          <w:i w:val="0"/>
        </w:rPr>
        <w:t xml:space="preserve"> 约束。在役支路按声明阻抗进入导纳矩阵，拓扑和设备设定保持固定。</w:t>
      </w:r>
    </w:p>
    <w:p>
      <w:r>
        <w:rPr>
          <w:b w:val="0"/>
          <w:i w:val="0"/>
        </w:rPr>
        <w:t>AC 求解分别从平坦电压和另一组初值开始：后者相角均匀分布于 0.01–0.03 弧度，PQ 节点电压取上下界中点；声明的初始电压构成第三组初值。各组初值先投影到相角和电压边界。</w:t>
      </w:r>
      <w:r>
        <w:rPr>
          <w:rFonts w:ascii="DejaVu Sans Mono" w:hAnsi="DejaVu Sans Mono"/>
          <w:b w:val="0"/>
          <w:i w:val="0"/>
          <w:sz w:val="17"/>
        </w:rPr>
        <w:t>least_squares</w:t>
      </w:r>
      <w:r>
        <w:rPr>
          <w:b w:val="0"/>
          <w:i w:val="0"/>
        </w:rPr>
        <w:t xml:space="preserve"> 采用 </w:t>
      </w:r>
      <w:r>
        <w:rPr>
          <w:rFonts w:ascii="DejaVu Sans Mono" w:hAnsi="DejaVu Sans Mono"/>
          <w:b w:val="0"/>
          <w:i w:val="0"/>
          <w:sz w:val="17"/>
        </w:rPr>
        <w:t>xtol = ftol = gtol = 1e-12</w:t>
      </w:r>
      <w:r>
        <w:rPr>
          <w:b w:val="0"/>
          <w:i w:val="0"/>
        </w:rPr>
        <w:t>、</w:t>
      </w:r>
      <w:r>
        <w:rPr>
          <w:rFonts w:ascii="DejaVu Sans Mono" w:hAnsi="DejaVu Sans Mono"/>
          <w:b w:val="0"/>
          <w:i w:val="0"/>
          <w:sz w:val="17"/>
        </w:rPr>
        <w:t>max_nfev = 2000</w:t>
      </w:r>
      <w:r>
        <w:rPr>
          <w:b w:val="0"/>
          <w:i w:val="0"/>
        </w:rPr>
        <w:t xml:space="preserve">，要求成功终止且最大不平衡量至多为 </w:t>
      </w:r>
      <w:r>
        <w:rPr>
          <w:rFonts w:ascii="DejaVu Sans Mono" w:hAnsi="DejaVu Sans Mono"/>
          <w:b w:val="0"/>
          <w:i w:val="0"/>
          <w:sz w:val="17"/>
        </w:rPr>
        <w:t>residual_tolerance</w:t>
      </w:r>
      <w:r>
        <w:rPr>
          <w:b w:val="0"/>
          <w:i w:val="0"/>
        </w:rPr>
        <w:t xml:space="preserve">，默认 </w:t>
      </w:r>
      <w:r>
        <w:drawing>
          <wp:inline xmlns:a="http://schemas.openxmlformats.org/drawingml/2006/main" xmlns:pic="http://schemas.openxmlformats.org/drawingml/2006/picture">
            <wp:extent cx="313975" cy="140242"/>
            <wp:docPr id="149" name="Picture 149"/>
            <wp:cNvGraphicFramePr>
              <a:graphicFrameLocks noChangeAspect="1"/>
            </wp:cNvGraphicFramePr>
            <a:graphic>
              <a:graphicData uri="http://schemas.openxmlformats.org/drawingml/2006/picture">
                <pic:pic>
                  <pic:nvPicPr>
                    <pic:cNvPr id="0" name="eq-131.png"/>
                    <pic:cNvPicPr/>
                  </pic:nvPicPr>
                  <pic:blipFill>
                    <a:blip r:embed="rId126"/>
                    <a:stretch>
                      <a:fillRect/>
                    </a:stretch>
                  </pic:blipFill>
                  <pic:spPr>
                    <a:xfrm>
                      <a:off x="0" y="0"/>
                      <a:ext cx="313975" cy="140242"/>
                    </a:xfrm>
                    <a:prstGeom prst="rect"/>
                  </pic:spPr>
                </pic:pic>
              </a:graphicData>
            </a:graphic>
          </wp:inline>
        </w:drawing>
      </w:r>
      <w:r>
        <w:rPr>
          <w:b w:val="0"/>
          <w:i w:val="0"/>
        </w:rPr>
        <w:t xml:space="preserve"> MW 或 Mvar，再选择残差最小的有效解。</w:t>
      </w:r>
    </w:p>
    <w:p>
      <w:r>
        <w:rPr>
          <w:b w:val="0"/>
          <w:i w:val="0"/>
        </w:rPr>
        <w:t xml:space="preserve">接纳的 AC 解在不同初值间的电压及相角差至多为 </w:t>
      </w:r>
      <w:r>
        <w:drawing>
          <wp:inline xmlns:a="http://schemas.openxmlformats.org/drawingml/2006/main" xmlns:pic="http://schemas.openxmlformats.org/drawingml/2006/picture">
            <wp:extent cx="313975" cy="140242"/>
            <wp:docPr id="150" name="Picture 150"/>
            <wp:cNvGraphicFramePr>
              <a:graphicFrameLocks noChangeAspect="1"/>
            </wp:cNvGraphicFramePr>
            <a:graphic>
              <a:graphicData uri="http://schemas.openxmlformats.org/drawingml/2006/picture">
                <pic:pic>
                  <pic:nvPicPr>
                    <pic:cNvPr id="0" name="eq-150.png"/>
                    <pic:cNvPicPr/>
                  </pic:nvPicPr>
                  <pic:blipFill>
                    <a:blip r:embed="rId140"/>
                    <a:stretch>
                      <a:fillRect/>
                    </a:stretch>
                  </pic:blipFill>
                  <pic:spPr>
                    <a:xfrm>
                      <a:off x="0" y="0"/>
                      <a:ext cx="313975" cy="140242"/>
                    </a:xfrm>
                    <a:prstGeom prst="rect"/>
                  </pic:spPr>
                </pic:pic>
              </a:graphicData>
            </a:graphic>
          </wp:inline>
        </w:drawing>
      </w:r>
      <w:r>
        <w:rPr>
          <w:b w:val="0"/>
          <w:i w:val="0"/>
        </w:rPr>
        <w:t xml:space="preserve">⁠，雅可比矩阵条件数至多为 </w:t>
      </w:r>
      <w:r>
        <w:drawing>
          <wp:inline xmlns:a="http://schemas.openxmlformats.org/drawingml/2006/main" xmlns:pic="http://schemas.openxmlformats.org/drawingml/2006/picture">
            <wp:extent cx="282892" cy="140398"/>
            <wp:docPr id="151" name="Picture 151"/>
            <wp:cNvGraphicFramePr>
              <a:graphicFrameLocks noChangeAspect="1"/>
            </wp:cNvGraphicFramePr>
            <a:graphic>
              <a:graphicData uri="http://schemas.openxmlformats.org/drawingml/2006/picture">
                <pic:pic>
                  <pic:nvPicPr>
                    <pic:cNvPr id="0" name="eq-151.png"/>
                    <pic:cNvPicPr/>
                  </pic:nvPicPr>
                  <pic:blipFill>
                    <a:blip r:embed="rId141"/>
                    <a:stretch>
                      <a:fillRect/>
                    </a:stretch>
                  </pic:blipFill>
                  <pic:spPr>
                    <a:xfrm>
                      <a:off x="0" y="0"/>
                      <a:ext cx="282892" cy="140398"/>
                    </a:xfrm>
                    <a:prstGeom prst="rect"/>
                  </pic:spPr>
                </pic:pic>
              </a:graphicData>
            </a:graphic>
          </wp:inline>
        </w:drawing>
      </w:r>
      <w:r>
        <w:rPr>
          <w:b w:val="0"/>
          <w:i w:val="0"/>
        </w:rPr>
        <w:t xml:space="preserve">⁠。有功、无功、电压和支路端点视在功率在 </w:t>
      </w:r>
      <w:r>
        <w:rPr>
          <w:rFonts w:ascii="DejaVu Sans Mono" w:hAnsi="DejaVu Sans Mono"/>
          <w:b w:val="0"/>
          <w:i w:val="0"/>
          <w:sz w:val="17"/>
        </w:rPr>
        <w:t>equipment_tolerance</w:t>
      </w:r>
      <w:r>
        <w:rPr>
          <w:b w:val="0"/>
          <w:i w:val="0"/>
        </w:rPr>
        <w:t xml:space="preserve"> 内满足声明限额，默认容差为各自单位下的 </w:t>
      </w:r>
      <w:r>
        <w:drawing>
          <wp:inline xmlns:a="http://schemas.openxmlformats.org/drawingml/2006/main" xmlns:pic="http://schemas.openxmlformats.org/drawingml/2006/picture">
            <wp:extent cx="313975" cy="140242"/>
            <wp:docPr id="152" name="Picture 152"/>
            <wp:cNvGraphicFramePr>
              <a:graphicFrameLocks noChangeAspect="1"/>
            </wp:cNvGraphicFramePr>
            <a:graphic>
              <a:graphicData uri="http://schemas.openxmlformats.org/drawingml/2006/picture">
                <pic:pic>
                  <pic:nvPicPr>
                    <pic:cNvPr id="0" name="eq-152.png"/>
                    <pic:cNvPicPr/>
                  </pic:nvPicPr>
                  <pic:blipFill>
                    <a:blip r:embed="rId142"/>
                    <a:stretch>
                      <a:fillRect/>
                    </a:stretch>
                  </pic:blipFill>
                  <pic:spPr>
                    <a:xfrm>
                      <a:off x="0" y="0"/>
                      <a:ext cx="313975" cy="140242"/>
                    </a:xfrm>
                    <a:prstGeom prst="rect"/>
                  </pic:spPr>
                </pic:pic>
              </a:graphicData>
            </a:graphic>
          </wp:inline>
        </w:drawing>
      </w:r>
      <w:r>
        <w:rPr>
          <w:b w:val="0"/>
          <w:i w:val="0"/>
        </w:rPr>
        <w:t>⁠。每期返回电压、发电、端点潮流和损耗，随后进入下一期；某期求解失败时计算结束。</w:t>
      </w:r>
    </w:p>
    <w:p>
      <w:pPr>
        <w:pStyle w:val="Heading2"/>
      </w:pPr>
      <w:r>
        <w:rPr>
          <w:b w:val="0"/>
          <w:i w:val="0"/>
        </w:rPr>
        <w:t>可选线路扩建</w:t>
      </w:r>
    </w:p>
    <w:p>
      <w:pPr>
        <w:keepNext/>
      </w:pPr>
      <w:r>
        <w:rPr>
          <w:b w:val="0"/>
          <w:i w:val="0"/>
        </w:rPr>
        <w:t>线路扩建根据观测拥塞和声明年度收益筛选外部候选。候选记录包含端点、回路数、支路参数及限额、建设费用、固定运维、寿命、折现率、建设期、延误、规划成功率和预算组。</w:t>
      </w:r>
      <w:r>
        <w:rPr>
          <w:rFonts w:ascii="DejaVu Sans Mono" w:hAnsi="DejaVu Sans Mono"/>
          <w:b w:val="0"/>
          <w:i w:val="0"/>
          <w:sz w:val="17"/>
        </w:rPr>
        <w:t>ReferenceTransmissionExpansion.propose</w:t>
      </w:r>
      <w:r>
        <w:rPr>
          <w:b w:val="0"/>
          <w:i w:val="0"/>
        </w:rPr>
        <w:t xml:space="preserve"> 计算峰值利用率 </w:t>
      </w:r>
      <w:r>
        <w:rPr>
          <w:rFonts w:ascii="DejaVu Sans Mono" w:hAnsi="DejaVu Sans Mono"/>
          <w:b w:val="0"/>
          <w:i w:val="0"/>
          <w:sz w:val="17"/>
        </w:rPr>
        <w:t>utilisation</w:t>
      </w:r>
      <w:r>
        <w:rPr>
          <w:b w:val="0"/>
          <w:i w:val="0"/>
        </w:rPr>
        <w:t xml:space="preserve">、年费用 </w:t>
      </w:r>
      <w:r>
        <w:rPr>
          <w:rFonts w:ascii="DejaVu Sans Mono" w:hAnsi="DejaVu Sans Mono"/>
          <w:b w:val="0"/>
          <w:i w:val="0"/>
          <w:sz w:val="17"/>
        </w:rPr>
        <w:t>annual_cost</w:t>
      </w:r>
      <w:r>
        <w:rPr>
          <w:b w:val="0"/>
          <w:i w:val="0"/>
        </w:rPr>
        <w:t xml:space="preserve"> 和效益费用比 </w:t>
      </w:r>
      <w:r>
        <w:rPr>
          <w:rFonts w:ascii="DejaVu Sans Mono" w:hAnsi="DejaVu Sans Mono"/>
          <w:b w:val="0"/>
          <w:i w:val="0"/>
          <w:sz w:val="17"/>
        </w:rPr>
        <w:t>ratio</w:t>
      </w:r>
      <w:r>
        <w:rPr>
          <w:b w:val="0"/>
          <w:i w:val="0"/>
        </w:rPr>
        <w:t>：</w:t>
      </w:r>
    </w:p>
    <w:p>
      <w:pPr>
        <w:spacing w:after="160"/>
        <w:jc w:val="center"/>
      </w:pPr>
      <w:r>
        <w:drawing>
          <wp:inline xmlns:a="http://schemas.openxmlformats.org/drawingml/2006/main" xmlns:pic="http://schemas.openxmlformats.org/drawingml/2006/picture">
            <wp:extent cx="6123812" cy="1088068"/>
            <wp:docPr id="153" name="Picture 153"/>
            <wp:cNvGraphicFramePr>
              <a:graphicFrameLocks noChangeAspect="1"/>
            </wp:cNvGraphicFramePr>
            <a:graphic>
              <a:graphicData uri="http://schemas.openxmlformats.org/drawingml/2006/picture">
                <pic:pic>
                  <pic:nvPicPr>
                    <pic:cNvPr id="0" name="eq-153.png"/>
                    <pic:cNvPicPr/>
                  </pic:nvPicPr>
                  <pic:blipFill>
                    <a:blip r:embed="rId143"/>
                    <a:stretch>
                      <a:fillRect/>
                    </a:stretch>
                  </pic:blipFill>
                  <pic:spPr>
                    <a:xfrm>
                      <a:off x="0" y="0"/>
                      <a:ext cx="6123812" cy="1088068"/>
                    </a:xfrm>
                    <a:prstGeom prst="rect"/>
                  </pic:spPr>
                </pic:pic>
              </a:graphicData>
            </a:graphic>
          </wp:inline>
        </w:drawing>
      </w:r>
    </w:p>
    <w:p>
      <w:pPr>
        <w:keepNext/>
      </w:pPr>
      <w:r>
        <w:rPr>
          <w:b w:val="0"/>
          <w:i w:val="0"/>
        </w:rPr>
        <w:t xml:space="preserve">资本回收函数 </w:t>
      </w:r>
      <w:r>
        <w:rPr>
          <w:rFonts w:ascii="DejaVu Sans Mono" w:hAnsi="DejaVu Sans Mono"/>
          <w:b w:val="0"/>
          <w:i w:val="0"/>
          <w:sz w:val="17"/>
        </w:rPr>
        <w:t>_crf</w:t>
      </w:r>
      <w:r>
        <w:rPr>
          <w:b w:val="0"/>
          <w:i w:val="0"/>
        </w:rPr>
        <w:t xml:space="preserve"> 使用年度折现比例 </w:t>
      </w:r>
      <w:r>
        <w:rPr>
          <w:rFonts w:ascii="DejaVu Sans Mono" w:hAnsi="DejaVu Sans Mono"/>
          <w:b w:val="0"/>
          <w:i w:val="0"/>
          <w:sz w:val="17"/>
        </w:rPr>
        <w:t>rate</w:t>
      </w:r>
      <w:r>
        <w:rPr>
          <w:b w:val="0"/>
          <w:i w:val="0"/>
        </w:rPr>
        <w:t xml:space="preserve"> 与按年计量的寿命 </w:t>
      </w:r>
      <w:r>
        <w:rPr>
          <w:rFonts w:ascii="DejaVu Sans Mono" w:hAnsi="DejaVu Sans Mono"/>
          <w:b w:val="0"/>
          <w:i w:val="0"/>
          <w:sz w:val="17"/>
        </w:rPr>
        <w:t>life</w:t>
      </w:r>
      <w:r>
        <w:rPr>
          <w:b w:val="0"/>
          <w:i w:val="0"/>
        </w:rPr>
        <w:t>；</w:t>
      </w:r>
      <w:r>
        <w:rPr>
          <w:rFonts w:ascii="DejaVu Sans Mono" w:hAnsi="DejaVu Sans Mono"/>
          <w:b w:val="0"/>
          <w:i w:val="0"/>
          <w:sz w:val="17"/>
        </w:rPr>
        <w:t>annual_cost</w:t>
      </w:r>
      <w:r>
        <w:rPr>
          <w:b w:val="0"/>
          <w:i w:val="0"/>
        </w:rPr>
        <w:t xml:space="preserve"> 为 GBP/年，</w:t>
      </w:r>
      <w:r>
        <w:rPr>
          <w:rFonts w:ascii="DejaVu Sans Mono" w:hAnsi="DejaVu Sans Mono"/>
          <w:b w:val="0"/>
          <w:i w:val="0"/>
          <w:sz w:val="17"/>
        </w:rPr>
        <w:t>total_​capex_​gbp_​per_​build</w:t>
      </w:r>
      <w:r>
        <w:rPr>
          <w:b w:val="0"/>
          <w:i w:val="0"/>
        </w:rPr>
        <w:t xml:space="preserve"> 为 GBP，</w:t>
      </w:r>
      <w:r>
        <w:rPr>
          <w:rFonts w:ascii="DejaVu Sans Mono" w:hAnsi="DejaVu Sans Mono"/>
          <w:b w:val="0"/>
          <w:i w:val="0"/>
          <w:sz w:val="17"/>
        </w:rPr>
        <w:t>ratio</w:t>
      </w:r>
      <w:r>
        <w:rPr>
          <w:b w:val="0"/>
          <w:i w:val="0"/>
        </w:rPr>
        <w:t xml:space="preserve"> 为无量纲比值：</w:t>
      </w:r>
    </w:p>
    <w:p>
      <w:pPr>
        <w:spacing w:after="160"/>
        <w:jc w:val="center"/>
      </w:pPr>
      <w:r>
        <w:drawing>
          <wp:inline xmlns:a="http://schemas.openxmlformats.org/drawingml/2006/main" xmlns:pic="http://schemas.openxmlformats.org/drawingml/2006/picture">
            <wp:extent cx="3721150" cy="649144"/>
            <wp:docPr id="154" name="Picture 154"/>
            <wp:cNvGraphicFramePr>
              <a:graphicFrameLocks noChangeAspect="1"/>
            </wp:cNvGraphicFramePr>
            <a:graphic>
              <a:graphicData uri="http://schemas.openxmlformats.org/drawingml/2006/picture">
                <pic:pic>
                  <pic:nvPicPr>
                    <pic:cNvPr id="0" name="eq-154.png"/>
                    <pic:cNvPicPr/>
                  </pic:nvPicPr>
                  <pic:blipFill>
                    <a:blip r:embed="rId144"/>
                    <a:stretch>
                      <a:fillRect/>
                    </a:stretch>
                  </pic:blipFill>
                  <pic:spPr>
                    <a:xfrm>
                      <a:off x="0" y="0"/>
                      <a:ext cx="3721150" cy="649144"/>
                    </a:xfrm>
                    <a:prstGeom prst="rect"/>
                  </pic:spPr>
                </pic:pic>
              </a:graphicData>
            </a:graphic>
          </wp:inline>
        </w:drawing>
      </w:r>
    </w:p>
    <w:p>
      <w:r>
        <w:rPr>
          <w:b w:val="0"/>
          <w:i w:val="0"/>
        </w:rPr>
        <w:t xml:space="preserve">已投运或已进入规划队列的候选从下一轮决策中移除，其余候选按 </w:t>
      </w:r>
      <w:r>
        <w:rPr>
          <w:rFonts w:ascii="DejaVu Sans Mono" w:hAnsi="DejaVu Sans Mono"/>
          <w:b w:val="0"/>
          <w:i w:val="0"/>
          <w:sz w:val="17"/>
        </w:rPr>
        <w:t>ratio</w:t>
      </w:r>
      <w:r>
        <w:rPr>
          <w:b w:val="0"/>
          <w:i w:val="0"/>
        </w:rPr>
        <w:t xml:space="preserve"> 降序和标识升序排列，最早决策年、最低触发利用率、最低效益费用比、总预算与预算组额度共同决定准入。年费用为零时比率为无穷大。注册参数默认年度总资金为 0 GBP，每组额度为 </w:t>
      </w:r>
      <w:r>
        <w:drawing>
          <wp:inline xmlns:a="http://schemas.openxmlformats.org/drawingml/2006/main" xmlns:pic="http://schemas.openxmlformats.org/drawingml/2006/picture">
            <wp:extent cx="282892" cy="140398"/>
            <wp:docPr id="155" name="Picture 155"/>
            <wp:cNvGraphicFramePr>
              <a:graphicFrameLocks noChangeAspect="1"/>
            </wp:cNvGraphicFramePr>
            <a:graphic>
              <a:graphicData uri="http://schemas.openxmlformats.org/drawingml/2006/picture">
                <pic:pic>
                  <pic:nvPicPr>
                    <pic:cNvPr id="0" name="eq-155.png"/>
                    <pic:cNvPicPr/>
                  </pic:nvPicPr>
                  <pic:blipFill>
                    <a:blip r:embed="rId145"/>
                    <a:stretch>
                      <a:fillRect/>
                    </a:stretch>
                  </pic:blipFill>
                  <pic:spPr>
                    <a:xfrm>
                      <a:off x="0" y="0"/>
                      <a:ext cx="282892" cy="140398"/>
                    </a:xfrm>
                    <a:prstGeom prst="rect"/>
                  </pic:spPr>
                </pic:pic>
              </a:graphicData>
            </a:graphic>
          </wp:inline>
        </w:drawing>
      </w:r>
      <w:r>
        <w:rPr>
          <w:b w:val="0"/>
          <w:i w:val="0"/>
        </w:rPr>
        <w:t xml:space="preserve"> GBP。每个接纳提案扣除完整建设费用，预计投运年为决策年加 </w:t>
      </w:r>
      <w:r>
        <w:rPr>
          <w:rFonts w:ascii="DejaVu Sans Mono" w:hAnsi="DejaVu Sans Mono"/>
          <w:b w:val="0"/>
          <w:i w:val="0"/>
          <w:sz w:val="17"/>
        </w:rPr>
        <w:t>lead_time_years</w:t>
      </w:r>
      <w:r>
        <w:rPr>
          <w:b w:val="0"/>
          <w:i w:val="0"/>
        </w:rPr>
        <w:t xml:space="preserve"> 和 </w:t>
      </w:r>
      <w:r>
        <w:rPr>
          <w:rFonts w:ascii="DejaVu Sans Mono" w:hAnsi="DejaVu Sans Mono"/>
          <w:b w:val="0"/>
          <w:i w:val="0"/>
          <w:sz w:val="17"/>
        </w:rPr>
        <w:t>delay_years</w:t>
      </w:r>
      <w:r>
        <w:rPr>
          <w:b w:val="0"/>
          <w:i w:val="0"/>
        </w:rPr>
        <w:t>。</w:t>
      </w:r>
    </w:p>
    <w:p>
      <w:r>
        <w:rPr>
          <w:rFonts w:ascii="DejaVu Sans Mono" w:hAnsi="DejaVu Sans Mono"/>
          <w:b w:val="0"/>
          <w:i w:val="0"/>
          <w:sz w:val="17"/>
        </w:rPr>
        <w:t>ReferenceTransmissionExpansion.admit</w:t>
      </w:r>
      <w:r>
        <w:rPr>
          <w:b w:val="0"/>
          <w:i w:val="0"/>
        </w:rPr>
        <w:t xml:space="preserve"> 在可重复抽样值 </w:t>
      </w:r>
      <w:r>
        <w:rPr>
          <w:rFonts w:ascii="DejaVu Sans Mono" w:hAnsi="DejaVu Sans Mono"/>
          <w:b w:val="0"/>
          <w:i w:val="0"/>
          <w:sz w:val="17"/>
        </w:rPr>
        <w:t>draw</w:t>
      </w:r>
      <w:r>
        <w:rPr>
          <w:b w:val="0"/>
          <w:i w:val="0"/>
        </w:rPr>
        <w:t xml:space="preserve"> 至多为 </w:t>
      </w:r>
      <w:r>
        <w:rPr>
          <w:rFonts w:ascii="DejaVu Sans Mono" w:hAnsi="DejaVu Sans Mono"/>
          <w:b w:val="0"/>
          <w:i w:val="0"/>
          <w:sz w:val="17"/>
        </w:rPr>
        <w:t>success_probability</w:t>
      </w:r>
      <w:r>
        <w:rPr>
          <w:b w:val="0"/>
          <w:i w:val="0"/>
        </w:rPr>
        <w:t xml:space="preserve"> 时接纳规划。</w:t>
      </w:r>
      <w:r>
        <w:rPr>
          <w:rFonts w:ascii="DejaVu Sans Mono" w:hAnsi="DejaVu Sans Mono"/>
          <w:b w:val="0"/>
          <w:i w:val="0"/>
          <w:sz w:val="17"/>
        </w:rPr>
        <w:t>seed</w:t>
      </w:r>
      <w:r>
        <w:rPr>
          <w:b w:val="0"/>
          <w:i w:val="0"/>
        </w:rPr>
        <w:t xml:space="preserve"> 取自 </w:t>
      </w:r>
      <w:r>
        <w:rPr>
          <w:rFonts w:ascii="DejaVu Sans Mono" w:hAnsi="DejaVu Sans Mono"/>
          <w:b w:val="0"/>
          <w:i w:val="0"/>
          <w:sz w:val="17"/>
        </w:rPr>
        <w:t>network.expansion.random_​seed</w:t>
      </w:r>
      <w:r>
        <w:rPr>
          <w:b w:val="0"/>
          <w:i w:val="0"/>
        </w:rPr>
        <w:t xml:space="preserve">，默认 0；提案标识为 </w:t>
      </w:r>
      <w:r>
        <w:rPr>
          <w:rFonts w:ascii="DejaVu Sans Mono" w:hAnsi="DejaVu Sans Mono"/>
          <w:b w:val="0"/>
          <w:i w:val="0"/>
          <w:sz w:val="17"/>
        </w:rPr>
        <w:t>network-proposal:{run_​id}:{year}:{candidate_​id}</w:t>
      </w:r>
      <w:r>
        <w:rPr>
          <w:b w:val="0"/>
          <w:i w:val="0"/>
        </w:rPr>
        <w:t xml:space="preserve">。这些输入按下式确定 </w:t>
      </w:r>
      <w:r>
        <w:rPr>
          <w:rFonts w:ascii="DejaVu Sans Mono" w:hAnsi="DejaVu Sans Mono"/>
          <w:b w:val="0"/>
          <w:i w:val="0"/>
          <w:sz w:val="17"/>
        </w:rPr>
        <w:t>draw</w:t>
      </w:r>
      <w:r>
        <w:rPr>
          <w:b w:val="0"/>
          <w:i w:val="0"/>
        </w:rPr>
        <w:t>：</w:t>
      </w:r>
    </w:p>
    <w:p>
      <w:pPr>
        <w:keepLines/>
        <w:spacing w:line="276" w:lineRule="auto" w:after="160"/>
      </w:pPr>
      <w:r>
        <w:rPr>
          <w:rFonts w:ascii="DejaVu Sans Mono" w:hAnsi="DejaVu Sans Mono"/>
          <w:b w:val="0"/>
          <w:i w:val="0"/>
          <w:sz w:val="17"/>
        </w:rPr>
        <w:t>digest = hashlib.sha256(</w:t>
        <w:br/>
        <w:t xml:space="preserve">    f"{seed}:{proposal.proposal_id}".encode()</w:t>
        <w:br/>
        <w:t>).hexdigest()</w:t>
        <w:br/>
        <w:t>draw = int(digest[:13], 16) / float(16 ** 13 - 1)</w:t>
        <w:br/>
        <w:t>if draw &lt;= candidate.success_​probability:</w:t>
        <w:br/>
        <w:t xml:space="preserve">    admit the proposal into the planning queue</w:t>
        <w:br/>
      </w:r>
    </w:p>
    <w:p>
      <w:r>
        <w:rPr>
          <w:b w:val="0"/>
          <w:i w:val="0"/>
        </w:rPr>
        <w:t xml:space="preserve">年初将已完成项目投运；线路按投运年加 </w:t>
      </w:r>
      <w:r>
        <w:rPr>
          <w:rFonts w:ascii="DejaVu Sans Mono" w:hAnsi="DejaVu Sans Mono"/>
          <w:b w:val="0"/>
          <w:i w:val="0"/>
          <w:sz w:val="17"/>
        </w:rPr>
        <w:t>economic_life_years</w:t>
      </w:r>
      <w:r>
        <w:rPr>
          <w:b w:val="0"/>
          <w:i w:val="0"/>
        </w:rPr>
        <w:t xml:space="preserve"> 向上取整的年份退役。</w:t>
      </w:r>
      <w:r>
        <w:rPr>
          <w:rFonts w:ascii="DejaVu Sans Mono" w:hAnsi="DejaVu Sans Mono"/>
          <w:b w:val="0"/>
          <w:i w:val="0"/>
          <w:sz w:val="17"/>
        </w:rPr>
        <w:t>apply_​commissioned_​network_​assets</w:t>
      </w:r>
      <w:r>
        <w:rPr>
          <w:b w:val="0"/>
          <w:i w:val="0"/>
        </w:rPr>
        <w:t xml:space="preserve"> 将投运支路接入年度网络。线路扩建通过候选表与年度预算启用；随模型提供的 23 区配置保持网络固定。</w:t>
      </w:r>
    </w:p>
    <w:p>
      <w:pPr>
        <w:pStyle w:val="Heading1"/>
      </w:pPr>
      <w:r>
        <w:rPr>
          <w:b w:val="0"/>
          <w:i w:val="0"/>
        </w:rPr>
        <w:t>8 完全预见调度与天然水文</w:t>
      </w:r>
    </w:p>
    <w:p>
      <w:pPr>
        <w:pStyle w:val="Heading2"/>
      </w:pPr>
      <w:r>
        <w:rPr>
          <w:b w:val="0"/>
          <w:i w:val="0"/>
        </w:rPr>
        <w:t>完全预见单节点调度</w:t>
      </w:r>
    </w:p>
    <w:p>
      <w:r>
        <w:rPr>
          <w:b w:val="0"/>
          <w:i w:val="0"/>
        </w:rPr>
        <w:t>完全预见模块在固定装机下，联合安排完整输入时序中的发电、进口和储能。</w:t>
      </w:r>
      <w:r>
        <w:rPr>
          <w:rFonts w:ascii="DejaVu Sans Mono" w:hAnsi="DejaVu Sans Mono"/>
          <w:b w:val="0"/>
          <w:i w:val="0"/>
          <w:sz w:val="17"/>
        </w:rPr>
        <w:t>PerfectForesightPSM.run</w:t>
      </w:r>
      <w:r>
        <w:rPr>
          <w:b w:val="0"/>
          <w:i w:val="0"/>
        </w:rPr>
        <w:t xml:space="preserve"> 读取 </w:t>
      </w:r>
      <w:r>
        <w:rPr>
          <w:rFonts w:ascii="DejaVu Sans Mono" w:hAnsi="DejaVu Sans Mono"/>
          <w:b w:val="0"/>
          <w:i w:val="0"/>
          <w:sz w:val="17"/>
        </w:rPr>
        <w:t>PSMInput.chronology</w:t>
      </w:r>
      <w:r>
        <w:rPr>
          <w:b w:val="0"/>
          <w:i w:val="0"/>
        </w:rPr>
        <w:t>，年度外层模型提供投资及其形成的装机。各期输入包括需求、资源可用率和边际费用；储能输入包括功率、电量容量、效率和期初库存。</w:t>
      </w:r>
    </w:p>
    <w:p>
      <w:r>
        <w:rPr>
          <w:b w:val="0"/>
          <w:i w:val="0"/>
        </w:rPr>
        <w:t xml:space="preserve">资源可用率接受单元素序列或完整时序，数值须有限且位于 </w:t>
      </w:r>
      <w:r>
        <w:drawing>
          <wp:inline xmlns:a="http://schemas.openxmlformats.org/drawingml/2006/main" xmlns:pic="http://schemas.openxmlformats.org/drawingml/2006/picture">
            <wp:extent cx="316141" cy="157024"/>
            <wp:docPr id="156" name="Picture 156"/>
            <wp:cNvGraphicFramePr>
              <a:graphicFrameLocks noChangeAspect="1"/>
            </wp:cNvGraphicFramePr>
            <a:graphic>
              <a:graphicData uri="http://schemas.openxmlformats.org/drawingml/2006/picture">
                <pic:pic>
                  <pic:nvPicPr>
                    <pic:cNvPr id="0" name="eq-138.png"/>
                    <pic:cNvPicPr/>
                  </pic:nvPicPr>
                  <pic:blipFill>
                    <a:blip r:embed="rId132"/>
                    <a:stretch>
                      <a:fillRect/>
                    </a:stretch>
                  </pic:blipFill>
                  <pic:spPr>
                    <a:xfrm>
                      <a:off x="0" y="0"/>
                      <a:ext cx="316141" cy="157024"/>
                    </a:xfrm>
                    <a:prstGeom prst="rect"/>
                  </pic:spPr>
                </pic:pic>
              </a:graphicData>
            </a:graphic>
          </wp:inline>
        </w:drawing>
      </w:r>
      <w:r>
        <w:rPr>
          <w:b w:val="0"/>
          <w:i w:val="0"/>
        </w:rPr>
        <w:t xml:space="preserve">⁠。边际费用接受标量、单元素序列或完整时序，数值须有限且非负。需求采用有限非负 MWh，时段标识唯一，完整序列均遵循同一时序。充电与放电效率位于 </w:t>
      </w:r>
      <w:r>
        <w:drawing>
          <wp:inline xmlns:a="http://schemas.openxmlformats.org/drawingml/2006/main" xmlns:pic="http://schemas.openxmlformats.org/drawingml/2006/picture">
            <wp:extent cx="333743" cy="157426"/>
            <wp:docPr id="157" name="Picture 157"/>
            <wp:cNvGraphicFramePr>
              <a:graphicFrameLocks noChangeAspect="1"/>
            </wp:cNvGraphicFramePr>
            <a:graphic>
              <a:graphicData uri="http://schemas.openxmlformats.org/drawingml/2006/picture">
                <pic:pic>
                  <pic:nvPicPr>
                    <pic:cNvPr id="0" name="eq-157.png"/>
                    <pic:cNvPicPr/>
                  </pic:nvPicPr>
                  <pic:blipFill>
                    <a:blip r:embed="rId146"/>
                    <a:stretch>
                      <a:fillRect/>
                    </a:stretch>
                  </pic:blipFill>
                  <pic:spPr>
                    <a:xfrm>
                      <a:off x="0" y="0"/>
                      <a:ext cx="333743" cy="157426"/>
                    </a:xfrm>
                    <a:prstGeom prst="rect"/>
                  </pic:spPr>
                </pic:pic>
              </a:graphicData>
            </a:graphic>
          </wp:inline>
        </w:drawing>
      </w:r>
      <w:r>
        <w:rPr>
          <w:b w:val="0"/>
          <w:i w:val="0"/>
        </w:rPr>
        <w:t>⁠，初始库存及固定期末库存位于能量容量以内。该输入中的水电作为具有给定电力可用率的资源。下述水文函数从来水构造可用电量，或优化常规水库运行。</w:t>
      </w:r>
    </w:p>
    <w:p>
      <w:pPr>
        <w:keepNext/>
      </w:pPr>
      <w:r>
        <w:rPr>
          <w:b w:val="0"/>
          <w:i w:val="0"/>
        </w:rPr>
        <w:t>目标函数最小化资源运行支出、储能衰减费用和缺电费用。</w:t>
      </w:r>
      <w:r>
        <w:rPr>
          <w:rFonts w:ascii="DejaVu Sans Mono" w:hAnsi="DejaVu Sans Mono"/>
          <w:b w:val="0"/>
          <w:i w:val="0"/>
          <w:sz w:val="17"/>
        </w:rPr>
        <w:t>resource_period</w:t>
      </w:r>
      <w:r>
        <w:rPr>
          <w:b w:val="0"/>
          <w:i w:val="0"/>
        </w:rPr>
        <w:t>、</w:t>
      </w:r>
      <w:r>
        <w:rPr>
          <w:rFonts w:ascii="DejaVu Sans Mono" w:hAnsi="DejaVu Sans Mono"/>
          <w:b w:val="0"/>
          <w:i w:val="0"/>
          <w:sz w:val="17"/>
        </w:rPr>
        <w:t>charge_period</w:t>
      </w:r>
      <w:r>
        <w:rPr>
          <w:b w:val="0"/>
          <w:i w:val="0"/>
        </w:rPr>
        <w:t>、</w:t>
      </w:r>
      <w:r>
        <w:rPr>
          <w:rFonts w:ascii="DejaVu Sans Mono" w:hAnsi="DejaVu Sans Mono"/>
          <w:b w:val="0"/>
          <w:i w:val="0"/>
          <w:sz w:val="17"/>
        </w:rPr>
        <w:t>discharge_period</w:t>
      </w:r>
      <w:r>
        <w:rPr>
          <w:b w:val="0"/>
          <w:i w:val="0"/>
        </w:rPr>
        <w:t>、</w:t>
      </w:r>
      <w:r>
        <w:rPr>
          <w:rFonts w:ascii="DejaVu Sans Mono" w:hAnsi="DejaVu Sans Mono"/>
          <w:b w:val="0"/>
          <w:i w:val="0"/>
          <w:sz w:val="17"/>
        </w:rPr>
        <w:t>soc_period</w:t>
      </w:r>
      <w:r>
        <w:rPr>
          <w:b w:val="0"/>
          <w:i w:val="0"/>
        </w:rPr>
        <w:t xml:space="preserve"> 和 </w:t>
      </w:r>
      <w:r>
        <w:rPr>
          <w:rFonts w:ascii="DejaVu Sans Mono" w:hAnsi="DejaVu Sans Mono"/>
          <w:b w:val="0"/>
          <w:i w:val="0"/>
          <w:sz w:val="17"/>
        </w:rPr>
        <w:t>blackout</w:t>
      </w:r>
      <w:r>
        <w:rPr>
          <w:b w:val="0"/>
          <w:i w:val="0"/>
        </w:rPr>
        <w:t xml:space="preserve"> 均为 MWh 数组，下标 </w:t>
      </w:r>
      <w:r>
        <w:drawing>
          <wp:inline xmlns:a="http://schemas.openxmlformats.org/drawingml/2006/main" xmlns:pic="http://schemas.openxmlformats.org/drawingml/2006/picture">
            <wp:extent cx="54552" cy="107006"/>
            <wp:docPr id="158" name="Picture 158"/>
            <wp:cNvGraphicFramePr>
              <a:graphicFrameLocks noChangeAspect="1"/>
            </wp:cNvGraphicFramePr>
            <a:graphic>
              <a:graphicData uri="http://schemas.openxmlformats.org/drawingml/2006/picture">
                <pic:pic>
                  <pic:nvPicPr>
                    <pic:cNvPr id="0" name="eq-035.png"/>
                    <pic:cNvPicPr/>
                  </pic:nvPicPr>
                  <pic:blipFill>
                    <a:blip r:embed="rId45"/>
                    <a:stretch>
                      <a:fillRect/>
                    </a:stretch>
                  </pic:blipFill>
                  <pic:spPr>
                    <a:xfrm>
                      <a:off x="0" y="0"/>
                      <a:ext cx="54552" cy="107006"/>
                    </a:xfrm>
                    <a:prstGeom prst="rect"/>
                  </pic:spPr>
                </pic:pic>
              </a:graphicData>
            </a:graphic>
          </wp:inline>
        </w:drawing>
      </w:r>
      <w:r>
        <w:rPr>
          <w:b w:val="0"/>
          <w:i w:val="0"/>
        </w:rPr>
        <w:t>⁠、</w:t>
      </w:r>
      <w:r>
        <w:drawing>
          <wp:inline xmlns:a="http://schemas.openxmlformats.org/drawingml/2006/main" xmlns:pic="http://schemas.openxmlformats.org/drawingml/2006/picture">
            <wp:extent cx="74110" cy="71993"/>
            <wp:docPr id="159" name="Picture 159"/>
            <wp:cNvGraphicFramePr>
              <a:graphicFrameLocks noChangeAspect="1"/>
            </wp:cNvGraphicFramePr>
            <a:graphic>
              <a:graphicData uri="http://schemas.openxmlformats.org/drawingml/2006/picture">
                <pic:pic>
                  <pic:nvPicPr>
                    <pic:cNvPr id="0" name="eq-159.png"/>
                    <pic:cNvPicPr/>
                  </pic:nvPicPr>
                  <pic:blipFill>
                    <a:blip r:embed="rId147"/>
                    <a:stretch>
                      <a:fillRect/>
                    </a:stretch>
                  </pic:blipFill>
                  <pic:spPr>
                    <a:xfrm>
                      <a:off x="0" y="0"/>
                      <a:ext cx="74110" cy="71993"/>
                    </a:xfrm>
                    <a:prstGeom prst="rect"/>
                  </pic:spPr>
                </pic:pic>
              </a:graphicData>
            </a:graphic>
          </wp:inline>
        </w:drawing>
      </w:r>
      <w:r>
        <w:rPr>
          <w:b w:val="0"/>
          <w:i w:val="0"/>
        </w:rPr>
        <w:t>⁠、</w:t>
      </w:r>
      <w:r>
        <w:drawing>
          <wp:inline xmlns:a="http://schemas.openxmlformats.org/drawingml/2006/main" xmlns:pic="http://schemas.openxmlformats.org/drawingml/2006/picture">
            <wp:extent cx="57067" cy="101452"/>
            <wp:docPr id="160" name="Picture 160"/>
            <wp:cNvGraphicFramePr>
              <a:graphicFrameLocks noChangeAspect="1"/>
            </wp:cNvGraphicFramePr>
            <a:graphic>
              <a:graphicData uri="http://schemas.openxmlformats.org/drawingml/2006/picture">
                <pic:pic>
                  <pic:nvPicPr>
                    <pic:cNvPr id="0" name="eq-036.png"/>
                    <pic:cNvPicPr/>
                  </pic:nvPicPr>
                  <pic:blipFill>
                    <a:blip r:embed="rId46"/>
                    <a:stretch>
                      <a:fillRect/>
                    </a:stretch>
                  </pic:blipFill>
                  <pic:spPr>
                    <a:xfrm>
                      <a:off x="0" y="0"/>
                      <a:ext cx="57067" cy="101452"/>
                    </a:xfrm>
                    <a:prstGeom prst="rect"/>
                  </pic:spPr>
                </pic:pic>
              </a:graphicData>
            </a:graphic>
          </wp:inline>
        </w:drawing>
      </w:r>
      <w:r>
        <w:rPr>
          <w:b w:val="0"/>
          <w:i w:val="0"/>
        </w:rPr>
        <w:t xml:space="preserve"> 分别对应资源、储能和时段。</w:t>
      </w:r>
      <w:r>
        <w:rPr>
          <w:rFonts w:ascii="DejaVu Sans Mono" w:hAnsi="DejaVu Sans Mono"/>
          <w:b w:val="0"/>
          <w:i w:val="0"/>
          <w:sz w:val="17"/>
        </w:rPr>
        <w:t>resource_marginal_costs</w:t>
      </w:r>
      <w:r>
        <w:rPr>
          <w:b w:val="0"/>
          <w:i w:val="0"/>
        </w:rPr>
        <w:t xml:space="preserve"> 与 </w:t>
      </w:r>
      <w:r>
        <w:rPr>
          <w:rFonts w:ascii="DejaVu Sans Mono" w:hAnsi="DejaVu Sans Mono"/>
          <w:b w:val="0"/>
          <w:i w:val="0"/>
          <w:sz w:val="17"/>
        </w:rPr>
        <w:t>variable_​degradation_​gbp_​per_​mwh_​discharged</w:t>
      </w:r>
      <w:r>
        <w:rPr>
          <w:b w:val="0"/>
          <w:i w:val="0"/>
        </w:rPr>
        <w:t xml:space="preserve"> 的单位为 GBP/MWh，</w:t>
      </w:r>
      <w:r>
        <w:rPr>
          <w:rFonts w:ascii="DejaVu Sans Mono" w:hAnsi="DejaVu Sans Mono"/>
          <w:b w:val="0"/>
          <w:i w:val="0"/>
          <w:sz w:val="17"/>
        </w:rPr>
        <w:t>voll_gbp_per_mwh</w:t>
      </w:r>
      <w:r>
        <w:rPr>
          <w:b w:val="0"/>
          <w:i w:val="0"/>
        </w:rPr>
        <w:t xml:space="preserve"> 为缺电估值。目标为</w:t>
      </w:r>
    </w:p>
    <w:p>
      <w:pPr>
        <w:spacing w:after="160"/>
        <w:jc w:val="center"/>
      </w:pPr>
      <w:r>
        <w:drawing>
          <wp:inline xmlns:a="http://schemas.openxmlformats.org/drawingml/2006/main" xmlns:pic="http://schemas.openxmlformats.org/drawingml/2006/picture">
            <wp:extent cx="6150406" cy="1248372"/>
            <wp:docPr id="161" name="Picture 161"/>
            <wp:cNvGraphicFramePr>
              <a:graphicFrameLocks noChangeAspect="1"/>
            </wp:cNvGraphicFramePr>
            <a:graphic>
              <a:graphicData uri="http://schemas.openxmlformats.org/drawingml/2006/picture">
                <pic:pic>
                  <pic:nvPicPr>
                    <pic:cNvPr id="0" name="eq-161.png"/>
                    <pic:cNvPicPr/>
                  </pic:nvPicPr>
                  <pic:blipFill>
                    <a:blip r:embed="rId148"/>
                    <a:stretch>
                      <a:fillRect/>
                    </a:stretch>
                  </pic:blipFill>
                  <pic:spPr>
                    <a:xfrm>
                      <a:off x="0" y="0"/>
                      <a:ext cx="6150406" cy="1248372"/>
                    </a:xfrm>
                    <a:prstGeom prst="rect"/>
                  </pic:spPr>
                </pic:pic>
              </a:graphicData>
            </a:graphic>
          </wp:inline>
        </w:drawing>
      </w:r>
    </w:p>
    <w:p>
      <w:pPr>
        <w:keepNext/>
      </w:pPr>
      <w:r>
        <w:rPr>
          <w:b w:val="0"/>
          <w:i w:val="0"/>
        </w:rPr>
        <w:t>单节点平衡以资源供给、储能放电和记录缺电满足需求及充电：</w:t>
      </w:r>
    </w:p>
    <w:p>
      <w:pPr>
        <w:spacing w:after="160"/>
        <w:jc w:val="center"/>
      </w:pPr>
      <w:r>
        <w:drawing>
          <wp:inline xmlns:a="http://schemas.openxmlformats.org/drawingml/2006/main" xmlns:pic="http://schemas.openxmlformats.org/drawingml/2006/picture">
            <wp:extent cx="4421886" cy="784233"/>
            <wp:docPr id="162" name="Picture 162"/>
            <wp:cNvGraphicFramePr>
              <a:graphicFrameLocks noChangeAspect="1"/>
            </wp:cNvGraphicFramePr>
            <a:graphic>
              <a:graphicData uri="http://schemas.openxmlformats.org/drawingml/2006/picture">
                <pic:pic>
                  <pic:nvPicPr>
                    <pic:cNvPr id="0" name="eq-162.png"/>
                    <pic:cNvPicPr/>
                  </pic:nvPicPr>
                  <pic:blipFill>
                    <a:blip r:embed="rId149"/>
                    <a:stretch>
                      <a:fillRect/>
                    </a:stretch>
                  </pic:blipFill>
                  <pic:spPr>
                    <a:xfrm>
                      <a:off x="0" y="0"/>
                      <a:ext cx="4421886" cy="784233"/>
                    </a:xfrm>
                    <a:prstGeom prst="rect"/>
                  </pic:spPr>
                </pic:pic>
              </a:graphicData>
            </a:graphic>
          </wp:inline>
        </w:drawing>
      </w:r>
    </w:p>
    <w:p>
      <w:pPr>
        <w:keepNext/>
      </w:pPr>
      <w:r>
        <w:rPr>
          <w:b w:val="0"/>
          <w:i w:val="0"/>
        </w:rPr>
        <w:t xml:space="preserve">储能库存表示内部电量。电网侧充电量乘 </w:t>
      </w:r>
      <w:r>
        <w:rPr>
          <w:rFonts w:ascii="DejaVu Sans Mono" w:hAnsi="DejaVu Sans Mono"/>
          <w:b w:val="0"/>
          <w:i w:val="0"/>
          <w:sz w:val="17"/>
        </w:rPr>
        <w:t>charge_efficiency</w:t>
      </w:r>
      <w:r>
        <w:rPr>
          <w:b w:val="0"/>
          <w:i w:val="0"/>
        </w:rPr>
        <w:t xml:space="preserve"> 后进入库存，送出电量除以 </w:t>
      </w:r>
      <w:r>
        <w:rPr>
          <w:rFonts w:ascii="DejaVu Sans Mono" w:hAnsi="DejaVu Sans Mono"/>
          <w:b w:val="0"/>
          <w:i w:val="0"/>
          <w:sz w:val="17"/>
        </w:rPr>
        <w:t>discharge_efficiency</w:t>
      </w:r>
      <w:r>
        <w:rPr>
          <w:b w:val="0"/>
          <w:i w:val="0"/>
        </w:rPr>
        <w:t xml:space="preserve"> 后从库存扣除：</w:t>
      </w:r>
    </w:p>
    <w:p>
      <w:pPr>
        <w:spacing w:after="160"/>
        <w:jc w:val="center"/>
      </w:pPr>
      <w:r>
        <w:drawing>
          <wp:inline xmlns:a="http://schemas.openxmlformats.org/drawingml/2006/main" xmlns:pic="http://schemas.openxmlformats.org/drawingml/2006/picture">
            <wp:extent cx="5128869" cy="441119"/>
            <wp:docPr id="163" name="Picture 163"/>
            <wp:cNvGraphicFramePr>
              <a:graphicFrameLocks noChangeAspect="1"/>
            </wp:cNvGraphicFramePr>
            <a:graphic>
              <a:graphicData uri="http://schemas.openxmlformats.org/drawingml/2006/picture">
                <pic:pic>
                  <pic:nvPicPr>
                    <pic:cNvPr id="0" name="eq-163.png"/>
                    <pic:cNvPicPr/>
                  </pic:nvPicPr>
                  <pic:blipFill>
                    <a:blip r:embed="rId150"/>
                    <a:stretch>
                      <a:fillRect/>
                    </a:stretch>
                  </pic:blipFill>
                  <pic:spPr>
                    <a:xfrm>
                      <a:off x="0" y="0"/>
                      <a:ext cx="5128869" cy="441119"/>
                    </a:xfrm>
                    <a:prstGeom prst="rect"/>
                  </pic:spPr>
                </pic:pic>
              </a:graphicData>
            </a:graphic>
          </wp:inline>
        </w:drawing>
      </w:r>
    </w:p>
    <w:p>
      <w:pPr>
        <w:keepNext/>
      </w:pPr>
      <w:r>
        <w:rPr>
          <w:b w:val="0"/>
          <w:i w:val="0"/>
        </w:rPr>
        <w:t xml:space="preserve">容量约束通过 </w:t>
      </w:r>
      <w:r>
        <w:rPr>
          <w:rFonts w:ascii="DejaVu Sans Mono" w:hAnsi="DejaVu Sans Mono"/>
          <w:b w:val="0"/>
          <w:i w:val="0"/>
          <w:sz w:val="17"/>
        </w:rPr>
        <w:t>period_hours</w:t>
      </w:r>
      <w:r>
        <w:rPr>
          <w:b w:val="0"/>
          <w:i w:val="0"/>
        </w:rPr>
        <w:t xml:space="preserve"> 将 MW 换为期间 MWh：</w:t>
      </w:r>
    </w:p>
    <w:p>
      <w:pPr>
        <w:spacing w:after="160"/>
        <w:jc w:val="center"/>
      </w:pPr>
      <w:r>
        <w:drawing>
          <wp:inline xmlns:a="http://schemas.openxmlformats.org/drawingml/2006/main" xmlns:pic="http://schemas.openxmlformats.org/drawingml/2006/picture">
            <wp:extent cx="5133213" cy="930609"/>
            <wp:docPr id="164" name="Picture 164"/>
            <wp:cNvGraphicFramePr>
              <a:graphicFrameLocks noChangeAspect="1"/>
            </wp:cNvGraphicFramePr>
            <a:graphic>
              <a:graphicData uri="http://schemas.openxmlformats.org/drawingml/2006/picture">
                <pic:pic>
                  <pic:nvPicPr>
                    <pic:cNvPr id="0" name="eq-164.png"/>
                    <pic:cNvPicPr/>
                  </pic:nvPicPr>
                  <pic:blipFill>
                    <a:blip r:embed="rId151"/>
                    <a:stretch>
                      <a:fillRect/>
                    </a:stretch>
                  </pic:blipFill>
                  <pic:spPr>
                    <a:xfrm>
                      <a:off x="0" y="0"/>
                      <a:ext cx="5133213" cy="930609"/>
                    </a:xfrm>
                    <a:prstGeom prst="rect"/>
                  </pic:spPr>
                </pic:pic>
              </a:graphicData>
            </a:graphic>
          </wp:inline>
        </w:drawing>
      </w:r>
    </w:p>
    <w:p>
      <w:r>
        <w:rPr>
          <w:b w:val="0"/>
          <w:i w:val="0"/>
        </w:rPr>
        <w:t xml:space="preserve">期初与期末库存决定储能在整个时域内的净电量交换。第一期从 </w:t>
      </w:r>
      <w:r>
        <w:rPr>
          <w:rFonts w:ascii="DejaVu Sans Mono" w:hAnsi="DejaVu Sans Mono"/>
          <w:b w:val="0"/>
          <w:i w:val="0"/>
          <w:sz w:val="17"/>
        </w:rPr>
        <w:t>initial_soc_mwh</w:t>
      </w:r>
      <w:r>
        <w:rPr>
          <w:b w:val="0"/>
          <w:i w:val="0"/>
        </w:rPr>
        <w:t xml:space="preserve"> 开始；默认 </w:t>
      </w:r>
      <w:r>
        <w:rPr>
          <w:rFonts w:ascii="DejaVu Sans Mono" w:hAnsi="DejaVu Sans Mono"/>
          <w:b w:val="0"/>
          <w:i w:val="0"/>
          <w:sz w:val="17"/>
        </w:rPr>
        <w:t>terminal_soc_rule = cyclic</w:t>
      </w:r>
      <w:r>
        <w:rPr>
          <w:b w:val="0"/>
          <w:i w:val="0"/>
        </w:rPr>
        <w:t xml:space="preserve"> 要求期末等于期初，</w:t>
      </w:r>
      <w:r>
        <w:rPr>
          <w:rFonts w:ascii="DejaVu Sans Mono" w:hAnsi="DejaVu Sans Mono"/>
          <w:b w:val="0"/>
          <w:i w:val="0"/>
          <w:sz w:val="17"/>
        </w:rPr>
        <w:t>fixed</w:t>
      </w:r>
      <w:r>
        <w:rPr>
          <w:b w:val="0"/>
          <w:i w:val="0"/>
        </w:rPr>
        <w:t xml:space="preserve"> 采用 </w:t>
      </w:r>
      <w:r>
        <w:rPr>
          <w:rFonts w:ascii="DejaVu Sans Mono" w:hAnsi="DejaVu Sans Mono"/>
          <w:b w:val="0"/>
          <w:i w:val="0"/>
          <w:sz w:val="17"/>
        </w:rPr>
        <w:t>terminal_​soc_​mwh_​by_​asset</w:t>
      </w:r>
      <w:r>
        <w:rPr>
          <w:b w:val="0"/>
          <w:i w:val="0"/>
        </w:rPr>
        <w:t>，</w:t>
      </w:r>
      <w:r>
        <w:rPr>
          <w:rFonts w:ascii="DejaVu Sans Mono" w:hAnsi="DejaVu Sans Mono"/>
          <w:b w:val="0"/>
          <w:i w:val="0"/>
          <w:sz w:val="17"/>
        </w:rPr>
        <w:t>free</w:t>
      </w:r>
      <w:r>
        <w:rPr>
          <w:b w:val="0"/>
          <w:i w:val="0"/>
        </w:rPr>
        <w:t xml:space="preserve"> 允许期末库存位于容量界内。启用 </w:t>
      </w:r>
      <w:r>
        <w:rPr>
          <w:rFonts w:ascii="DejaVu Sans Mono" w:hAnsi="DejaVu Sans Mono"/>
          <w:b w:val="0"/>
          <w:i w:val="0"/>
          <w:sz w:val="17"/>
        </w:rPr>
        <w:t>allow_blackout</w:t>
      </w:r>
      <w:r>
        <w:rPr>
          <w:b w:val="0"/>
          <w:i w:val="0"/>
        </w:rPr>
        <w:t xml:space="preserve"> 时，缺电量介于零与 </w:t>
      </w:r>
      <w:r>
        <w:rPr>
          <w:rFonts w:ascii="DejaVu Sans Mono" w:hAnsi="DejaVu Sans Mono"/>
          <w:b w:val="0"/>
          <w:i w:val="0"/>
          <w:sz w:val="17"/>
        </w:rPr>
        <w:t>demand_mwh</w:t>
      </w:r>
      <w:r>
        <w:rPr>
          <w:b w:val="0"/>
          <w:i w:val="0"/>
        </w:rPr>
        <w:t xml:space="preserve"> 之间，其余情况的上界为零。默认 </w:t>
      </w:r>
      <w:r>
        <w:rPr>
          <w:rFonts w:ascii="DejaVu Sans Mono" w:hAnsi="DejaVu Sans Mono"/>
          <w:b w:val="0"/>
          <w:i w:val="0"/>
          <w:sz w:val="17"/>
        </w:rPr>
        <w:t>period_hours = 0.5</w:t>
      </w:r>
      <w:r>
        <w:rPr>
          <w:b w:val="0"/>
          <w:i w:val="0"/>
        </w:rPr>
        <w:t>、</w:t>
      </w:r>
      <w:r>
        <w:rPr>
          <w:rFonts w:ascii="DejaVu Sans Mono" w:hAnsi="DejaVu Sans Mono"/>
          <w:b w:val="0"/>
          <w:i w:val="0"/>
          <w:sz w:val="17"/>
        </w:rPr>
        <w:t>voll_gbp_per_mwh = 17000</w:t>
      </w:r>
      <w:r>
        <w:rPr>
          <w:b w:val="0"/>
          <w:i w:val="0"/>
        </w:rPr>
        <w:t xml:space="preserve">，衰减费用为零。Study 参数 </w:t>
      </w:r>
      <w:r>
        <w:rPr>
          <w:rFonts w:ascii="DejaVu Sans Mono" w:hAnsi="DejaVu Sans Mono"/>
          <w:b w:val="0"/>
          <w:i w:val="0"/>
          <w:sz w:val="17"/>
        </w:rPr>
        <w:t>market.voll_gbp_per_mwh</w:t>
      </w:r>
      <w:r>
        <w:rPr>
          <w:b w:val="0"/>
          <w:i w:val="0"/>
        </w:rPr>
        <w:t xml:space="preserve"> 接受 0–1,000,000 GBP/MWh，并进入调度目标。</w:t>
      </w:r>
    </w:p>
    <w:p>
      <w:pPr>
        <w:keepNext/>
      </w:pPr>
      <w:r>
        <w:rPr>
          <w:b w:val="0"/>
          <w:i w:val="0"/>
        </w:rPr>
        <w:t>第二次线性规划在第一次解的费用容差内最小化储能吞吐。</w:t>
      </w:r>
      <w:r>
        <w:rPr>
          <w:rFonts w:ascii="DejaVu Sans Mono" w:hAnsi="DejaVu Sans Mono"/>
          <w:b w:val="0"/>
          <w:i w:val="0"/>
          <w:sz w:val="17"/>
        </w:rPr>
        <w:t>primary.fun</w:t>
      </w:r>
      <w:r>
        <w:rPr>
          <w:b w:val="0"/>
          <w:i w:val="0"/>
        </w:rPr>
        <w:t xml:space="preserve"> 为第一次求解的最小费用，单位 GBP；第二次保留全部物理约束，并增加</w:t>
      </w:r>
    </w:p>
    <w:p>
      <w:pPr>
        <w:spacing w:after="160"/>
        <w:jc w:val="center"/>
      </w:pPr>
      <w:r>
        <w:drawing>
          <wp:inline xmlns:a="http://schemas.openxmlformats.org/drawingml/2006/main" xmlns:pic="http://schemas.openxmlformats.org/drawingml/2006/picture">
            <wp:extent cx="4758385" cy="886769"/>
            <wp:docPr id="165" name="Picture 165"/>
            <wp:cNvGraphicFramePr>
              <a:graphicFrameLocks noChangeAspect="1"/>
            </wp:cNvGraphicFramePr>
            <a:graphic>
              <a:graphicData uri="http://schemas.openxmlformats.org/drawingml/2006/picture">
                <pic:pic>
                  <pic:nvPicPr>
                    <pic:cNvPr id="0" name="eq-165.png"/>
                    <pic:cNvPicPr/>
                  </pic:nvPicPr>
                  <pic:blipFill>
                    <a:blip r:embed="rId152"/>
                    <a:stretch>
                      <a:fillRect/>
                    </a:stretch>
                  </pic:blipFill>
                  <pic:spPr>
                    <a:xfrm>
                      <a:off x="0" y="0"/>
                      <a:ext cx="4758385" cy="886769"/>
                    </a:xfrm>
                    <a:prstGeom prst="rect"/>
                  </pic:spPr>
                </pic:pic>
              </a:graphicData>
            </a:graphic>
          </wp:inline>
        </w:drawing>
      </w:r>
    </w:p>
    <w:p>
      <w:r>
        <w:rPr>
          <w:b w:val="0"/>
          <w:i w:val="0"/>
        </w:rPr>
        <w:t xml:space="preserve">两次求解均采用 HiGHS，原始与对偶可行性容差为 </w:t>
      </w:r>
      <w:r>
        <w:drawing>
          <wp:inline xmlns:a="http://schemas.openxmlformats.org/drawingml/2006/main" xmlns:pic="http://schemas.openxmlformats.org/drawingml/2006/picture">
            <wp:extent cx="313975" cy="140242"/>
            <wp:docPr id="166" name="Picture 166"/>
            <wp:cNvGraphicFramePr>
              <a:graphicFrameLocks noChangeAspect="1"/>
            </wp:cNvGraphicFramePr>
            <a:graphic>
              <a:graphicData uri="http://schemas.openxmlformats.org/drawingml/2006/picture">
                <pic:pic>
                  <pic:nvPicPr>
                    <pic:cNvPr id="0" name="eq-110.png"/>
                    <pic:cNvPicPr/>
                  </pic:nvPicPr>
                  <pic:blipFill>
                    <a:blip r:embed="rId114"/>
                    <a:stretch>
                      <a:fillRect/>
                    </a:stretch>
                  </pic:blipFill>
                  <pic:spPr>
                    <a:xfrm>
                      <a:off x="0" y="0"/>
                      <a:ext cx="313975" cy="140242"/>
                    </a:xfrm>
                    <a:prstGeom prst="rect"/>
                  </pic:spPr>
                </pic:pic>
              </a:graphicData>
            </a:graphic>
          </wp:inline>
        </w:drawing>
      </w:r>
      <w:r>
        <w:rPr>
          <w:b w:val="0"/>
          <w:i w:val="0"/>
        </w:rPr>
        <w:t xml:space="preserve">⁠，各阶段成功达到最优后才进入后续计算。返回的物理轨迹为 </w:t>
      </w:r>
      <w:r>
        <w:rPr>
          <w:rFonts w:ascii="DejaVu Sans Mono" w:hAnsi="DejaVu Sans Mono"/>
          <w:b w:val="0"/>
          <w:i w:val="0"/>
          <w:sz w:val="17"/>
        </w:rPr>
        <w:t>secondary.x</w:t>
      </w:r>
      <w:r>
        <w:rPr>
          <w:b w:val="0"/>
          <w:i w:val="0"/>
        </w:rPr>
        <w:t xml:space="preserve">，最大同时充放电量 </w:t>
      </w:r>
      <w:r>
        <w:rPr>
          <w:rFonts w:ascii="DejaVu Sans Mono" w:hAnsi="DejaVu Sans Mono"/>
          <w:b w:val="0"/>
          <w:i w:val="0"/>
          <w:sz w:val="17"/>
        </w:rPr>
        <w:t>simultaneous</w:t>
      </w:r>
      <w:r>
        <w:rPr>
          <w:b w:val="0"/>
          <w:i w:val="0"/>
        </w:rPr>
        <w:t xml:space="preserve"> 须小于等于 </w:t>
      </w:r>
      <w:r>
        <w:drawing>
          <wp:inline xmlns:a="http://schemas.openxmlformats.org/drawingml/2006/main" xmlns:pic="http://schemas.openxmlformats.org/drawingml/2006/picture">
            <wp:extent cx="313975" cy="140242"/>
            <wp:docPr id="167" name="Picture 167"/>
            <wp:cNvGraphicFramePr>
              <a:graphicFrameLocks noChangeAspect="1"/>
            </wp:cNvGraphicFramePr>
            <a:graphic>
              <a:graphicData uri="http://schemas.openxmlformats.org/drawingml/2006/picture">
                <pic:pic>
                  <pic:nvPicPr>
                    <pic:cNvPr id="0" name="eq-152.png"/>
                    <pic:cNvPicPr/>
                  </pic:nvPicPr>
                  <pic:blipFill>
                    <a:blip r:embed="rId142"/>
                    <a:stretch>
                      <a:fillRect/>
                    </a:stretch>
                  </pic:blipFill>
                  <pic:spPr>
                    <a:xfrm>
                      <a:off x="0" y="0"/>
                      <a:ext cx="313975" cy="140242"/>
                    </a:xfrm>
                    <a:prstGeom prst="rect"/>
                  </pic:spPr>
                </pic:pic>
              </a:graphicData>
            </a:graphic>
          </wp:inline>
        </w:drawing>
      </w:r>
      <w:r>
        <w:rPr>
          <w:b w:val="0"/>
          <w:i w:val="0"/>
        </w:rPr>
        <w:t xml:space="preserve"> MWh。未使用的风光电量为可用量减已接纳资源供给。</w:t>
      </w:r>
    </w:p>
    <w:p>
      <w:r>
        <w:rPr>
          <w:b w:val="0"/>
          <w:i w:val="0"/>
        </w:rPr>
        <w:t xml:space="preserve">页面显示的“Balance shadow price”为第一阶段需求的边际运行费用。资源收入为需求平衡对偶值与接纳 MWh 的乘积，储能收入为该对偶值乘放电减充电，消费者支付采用已供应需求。系统费用在变量支出、衰减和缺电费用上，加年化资本及非风、非光、非储能资产的固定运维。固定费用输入为 </w:t>
      </w:r>
      <w:r>
        <w:rPr>
          <w:rFonts w:ascii="DejaVu Sans Mono" w:hAnsi="DejaVu Sans Mono"/>
          <w:b w:val="0"/>
          <w:i w:val="0"/>
          <w:sz w:val="17"/>
        </w:rPr>
        <w:t>annual_fixed_opex_gbp</w:t>
      </w:r>
      <w:r>
        <w:rPr>
          <w:b w:val="0"/>
          <w:i w:val="0"/>
        </w:rPr>
        <w:t>；风、光和储能的固定运维按第 6 章作为备查分项。</w:t>
      </w:r>
    </w:p>
    <w:p>
      <w:pPr>
        <w:keepLines/>
        <w:spacing w:line="276" w:lineRule="auto" w:after="160"/>
      </w:pPr>
      <w:r>
        <w:rPr>
          <w:rFonts w:ascii="DejaVu Sans Mono" w:hAnsi="DejaVu Sans Mono"/>
          <w:b w:val="0"/>
          <w:i w:val="0"/>
          <w:sz w:val="17"/>
        </w:rPr>
        <w:t>PerfectForesightPSM.run(model_​input):</w:t>
        <w:br/>
        <w:t xml:space="preserve">    data = model_input.chronology</w:t>
        <w:br/>
        <w:t xml:space="preserve">    validate_​chronology(data, model_​input.period_​hours)</w:t>
        <w:br/>
        <w:t xml:space="preserve">    _availability(...) and _marginal_costs(...): expand inputs to every period</w:t>
        <w:br/>
        <w:t xml:space="preserve">    _layout(data): allocate resource, charge, discharge, soc and blackout</w:t>
        <w:br/>
        <w:t xml:space="preserve">    assemble objective, throughput_objective, equality, rhs and bounds</w:t>
        <w:br/>
        <w:t xml:space="preserve">    primary = linprog(objective, A_eq=equality, b_eq=rhs,</w:t>
        <w:br/>
        <w:t xml:space="preserve">                      bounds=bounds, method="highs")</w:t>
        <w:br/>
        <w:t xml:space="preserve">    primary_tolerance = max(1e-7, abs(primary.fun) * 1e-10)</w:t>
        <w:br/>
        <w:t xml:space="preserve">    secondary = linprog(</w:t>
        <w:br/>
        <w:t xml:space="preserve">        throughput_objective, A_​ub=objective.reshape(1, -1),</w:t>
        <w:br/>
        <w:t xml:space="preserve">        b_ub=[primary.fun + primary_tolerance], A_eq=equality, b_eq=rhs,</w:t>
        <w:br/>
        <w:t xml:space="preserve">        bounds=bounds, method="highs")</w:t>
        <w:br/>
        <w:t xml:space="preserve">    extract resource_period, charge_period and discharge_period</w:t>
        <w:br/>
        <w:t xml:space="preserve">    extract soc_period and blackout</w:t>
        <w:br/>
        <w:t xml:space="preserve">    check balance and simultaneous storage operation</w:t>
        <w:br/>
        <w:t xml:space="preserve">    return costs and demand duals</w:t>
        <w:br/>
      </w:r>
    </w:p>
    <w:p>
      <w:pPr>
        <w:pStyle w:val="Heading2"/>
      </w:pPr>
      <w:r>
        <w:rPr>
          <w:b w:val="0"/>
          <w:i w:val="0"/>
        </w:rPr>
        <w:t>径流式水电可用电量</w:t>
      </w:r>
    </w:p>
    <w:p>
      <w:r>
        <w:rPr>
          <w:b w:val="0"/>
          <w:i w:val="0"/>
        </w:rPr>
        <w:t>天然水文方法根据来水时序和站点参数计算可用电量。</w:t>
      </w:r>
      <w:r>
        <w:rPr>
          <w:rFonts w:ascii="DejaVu Sans Mono" w:hAnsi="DejaVu Sans Mono"/>
          <w:b w:val="0"/>
          <w:i w:val="0"/>
          <w:sz w:val="17"/>
        </w:rPr>
        <w:t>run_of_river_dispatch</w:t>
      </w:r>
      <w:r>
        <w:rPr>
          <w:b w:val="0"/>
          <w:i w:val="0"/>
        </w:rPr>
        <w:t xml:space="preserve"> 读取 </w:t>
      </w:r>
      <w:r>
        <w:rPr>
          <w:rFonts w:ascii="DejaVu Sans Mono" w:hAnsi="DejaVu Sans Mono"/>
          <w:b w:val="0"/>
          <w:i w:val="0"/>
          <w:sz w:val="17"/>
        </w:rPr>
        <w:t>HydroSite</w:t>
      </w:r>
      <w:r>
        <w:rPr>
          <w:b w:val="0"/>
          <w:i w:val="0"/>
        </w:rPr>
        <w:t xml:space="preserve"> 与 </w:t>
      </w:r>
      <w:r>
        <w:rPr>
          <w:rFonts w:ascii="DejaVu Sans Mono" w:hAnsi="DejaVu Sans Mono"/>
          <w:b w:val="0"/>
          <w:i w:val="0"/>
          <w:sz w:val="17"/>
        </w:rPr>
        <w:t>CanonicalInflow</w:t>
      </w:r>
      <w:r>
        <w:rPr>
          <w:b w:val="0"/>
          <w:i w:val="0"/>
        </w:rPr>
        <w:t>；默认全国 PSM 采用第 5 章的统计负荷率和季节曲线。</w:t>
      </w:r>
    </w:p>
    <w:p>
      <w:pPr>
        <w:keepNext/>
      </w:pPr>
      <w:r>
        <w:rPr>
          <w:b w:val="0"/>
          <w:i w:val="0"/>
        </w:rPr>
        <w:t xml:space="preserve">归一化电力可用率按时段长度缩放装机功率。输入为 </w:t>
      </w:r>
      <w:r>
        <w:rPr>
          <w:rFonts w:ascii="DejaVu Sans Mono" w:hAnsi="DejaVu Sans Mono"/>
          <w:b w:val="0"/>
          <w:i w:val="0"/>
          <w:sz w:val="17"/>
        </w:rPr>
        <w:t>inflow.unit = p.u.</w:t>
      </w:r>
      <w:r>
        <w:rPr>
          <w:b w:val="0"/>
          <w:i w:val="0"/>
        </w:rPr>
        <w:t xml:space="preserve"> 时，</w:t>
      </w:r>
      <w:r>
        <w:rPr>
          <w:rFonts w:ascii="DejaVu Sans Mono" w:hAnsi="DejaVu Sans Mono"/>
          <w:b w:val="0"/>
          <w:i w:val="0"/>
          <w:sz w:val="17"/>
        </w:rPr>
        <w:t>inflow.values</w:t>
      </w:r>
      <w:r>
        <w:rPr>
          <w:b w:val="0"/>
          <w:i w:val="0"/>
        </w:rPr>
        <w:t xml:space="preserve"> 位于 </w:t>
      </w:r>
      <w:r>
        <w:drawing>
          <wp:inline xmlns:a="http://schemas.openxmlformats.org/drawingml/2006/main" xmlns:pic="http://schemas.openxmlformats.org/drawingml/2006/picture">
            <wp:extent cx="316141" cy="157024"/>
            <wp:docPr id="168" name="Picture 168"/>
            <wp:cNvGraphicFramePr>
              <a:graphicFrameLocks noChangeAspect="1"/>
            </wp:cNvGraphicFramePr>
            <a:graphic>
              <a:graphicData uri="http://schemas.openxmlformats.org/drawingml/2006/picture">
                <pic:pic>
                  <pic:nvPicPr>
                    <pic:cNvPr id="0" name="eq-138.png"/>
                    <pic:cNvPicPr/>
                  </pic:nvPicPr>
                  <pic:blipFill>
                    <a:blip r:embed="rId132"/>
                    <a:stretch>
                      <a:fillRect/>
                    </a:stretch>
                  </pic:blipFill>
                  <pic:spPr>
                    <a:xfrm>
                      <a:off x="0" y="0"/>
                      <a:ext cx="316141" cy="157024"/>
                    </a:xfrm>
                    <a:prstGeom prst="rect"/>
                  </pic:spPr>
                </pic:pic>
              </a:graphicData>
            </a:graphic>
          </wp:inline>
        </w:drawing>
      </w:r>
      <w:r>
        <w:rPr>
          <w:b w:val="0"/>
          <w:i w:val="0"/>
        </w:rPr>
        <w:t>⁠，</w:t>
      </w:r>
      <w:r>
        <w:rPr>
          <w:rFonts w:ascii="DejaVu Sans Mono" w:hAnsi="DejaVu Sans Mono"/>
          <w:b w:val="0"/>
          <w:i w:val="0"/>
          <w:sz w:val="17"/>
        </w:rPr>
        <w:t>capacity_mw</w:t>
      </w:r>
      <w:r>
        <w:rPr>
          <w:b w:val="0"/>
          <w:i w:val="0"/>
        </w:rPr>
        <w:t xml:space="preserve"> 单位为 MW，</w:t>
      </w:r>
      <w:r>
        <w:rPr>
          <w:rFonts w:ascii="DejaVu Sans Mono" w:hAnsi="DejaVu Sans Mono"/>
          <w:b w:val="0"/>
          <w:i w:val="0"/>
          <w:sz w:val="17"/>
        </w:rPr>
        <w:t>interval_hours</w:t>
      </w:r>
      <w:r>
        <w:rPr>
          <w:b w:val="0"/>
          <w:i w:val="0"/>
        </w:rPr>
        <w:t xml:space="preserve"> 单位为小时：</w:t>
      </w:r>
    </w:p>
    <w:p>
      <w:pPr>
        <w:spacing w:after="160"/>
        <w:jc w:val="center"/>
      </w:pPr>
      <w:r>
        <w:drawing>
          <wp:inline xmlns:a="http://schemas.openxmlformats.org/drawingml/2006/main" xmlns:pic="http://schemas.openxmlformats.org/drawingml/2006/picture">
            <wp:extent cx="3215563" cy="395375"/>
            <wp:docPr id="169" name="Picture 169"/>
            <wp:cNvGraphicFramePr>
              <a:graphicFrameLocks noChangeAspect="1"/>
            </wp:cNvGraphicFramePr>
            <a:graphic>
              <a:graphicData uri="http://schemas.openxmlformats.org/drawingml/2006/picture">
                <pic:pic>
                  <pic:nvPicPr>
                    <pic:cNvPr id="0" name="eq-169.png"/>
                    <pic:cNvPicPr/>
                  </pic:nvPicPr>
                  <pic:blipFill>
                    <a:blip r:embed="rId153"/>
                    <a:stretch>
                      <a:fillRect/>
                    </a:stretch>
                  </pic:blipFill>
                  <pic:spPr>
                    <a:xfrm>
                      <a:off x="0" y="0"/>
                      <a:ext cx="3215563" cy="395375"/>
                    </a:xfrm>
                    <a:prstGeom prst="rect"/>
                  </pic:spPr>
                </pic:pic>
              </a:graphicData>
            </a:graphic>
          </wp:inline>
        </w:drawing>
      </w:r>
    </w:p>
    <w:p>
      <w:pPr>
        <w:keepNext/>
      </w:pPr>
      <w:r>
        <w:rPr>
          <w:b w:val="0"/>
          <w:i w:val="0"/>
        </w:rPr>
        <w:t>水量输入乘站点水电转换系数和涡轮效率，再受发电功率约束：</w:t>
      </w:r>
    </w:p>
    <w:p>
      <w:pPr>
        <w:spacing w:after="160"/>
        <w:jc w:val="center"/>
      </w:pPr>
      <w:r>
        <w:drawing>
          <wp:inline xmlns:a="http://schemas.openxmlformats.org/drawingml/2006/main" xmlns:pic="http://schemas.openxmlformats.org/drawingml/2006/picture">
            <wp:extent cx="6217920" cy="440725"/>
            <wp:docPr id="170" name="Picture 170"/>
            <wp:cNvGraphicFramePr>
              <a:graphicFrameLocks noChangeAspect="1"/>
            </wp:cNvGraphicFramePr>
            <a:graphic>
              <a:graphicData uri="http://schemas.openxmlformats.org/drawingml/2006/picture">
                <pic:pic>
                  <pic:nvPicPr>
                    <pic:cNvPr id="0" name="eq-170.png"/>
                    <pic:cNvPicPr/>
                  </pic:nvPicPr>
                  <pic:blipFill>
                    <a:blip r:embed="rId154"/>
                    <a:stretch>
                      <a:fillRect/>
                    </a:stretch>
                  </pic:blipFill>
                  <pic:spPr>
                    <a:xfrm>
                      <a:off x="0" y="0"/>
                      <a:ext cx="6217920" cy="440725"/>
                    </a:xfrm>
                    <a:prstGeom prst="rect"/>
                  </pic:spPr>
                </pic:pic>
              </a:graphicData>
            </a:graphic>
          </wp:inline>
        </w:drawing>
      </w:r>
    </w:p>
    <w:p>
      <w:r>
        <w:rPr>
          <w:b w:val="0"/>
          <w:i w:val="0"/>
        </w:rPr>
        <w:t xml:space="preserve">接纳发电量介于零与 </w:t>
      </w:r>
      <w:r>
        <w:rPr>
          <w:rFonts w:ascii="DejaVu Sans Mono" w:hAnsi="DejaVu Sans Mono"/>
          <w:b w:val="0"/>
          <w:i w:val="0"/>
          <w:sz w:val="17"/>
        </w:rPr>
        <w:t>available</w:t>
      </w:r>
      <w:r>
        <w:rPr>
          <w:b w:val="0"/>
          <w:i w:val="0"/>
        </w:rPr>
        <w:t xml:space="preserve"> 之间，默认接纳全部可用电量，</w:t>
      </w:r>
      <w:r>
        <w:rPr>
          <w:rFonts w:ascii="DejaVu Sans Mono" w:hAnsi="DejaVu Sans Mono"/>
          <w:b w:val="0"/>
          <w:i w:val="0"/>
          <w:sz w:val="17"/>
        </w:rPr>
        <w:t>curtailed</w:t>
      </w:r>
      <w:r>
        <w:rPr>
          <w:b w:val="0"/>
          <w:i w:val="0"/>
        </w:rPr>
        <w:t xml:space="preserve"> 记录剩余电力潜力。返回结果中，三个数组分别记为 </w:t>
      </w:r>
      <w:r>
        <w:rPr>
          <w:rFonts w:ascii="DejaVu Sans Mono" w:hAnsi="DejaVu Sans Mono"/>
          <w:b w:val="0"/>
          <w:i w:val="0"/>
          <w:sz w:val="17"/>
        </w:rPr>
        <w:t>available_energy_mwh</w:t>
      </w:r>
      <w:r>
        <w:rPr>
          <w:b w:val="0"/>
          <w:i w:val="0"/>
        </w:rPr>
        <w:t>、</w:t>
      </w:r>
      <w:r>
        <w:rPr>
          <w:rFonts w:ascii="DejaVu Sans Mono" w:hAnsi="DejaVu Sans Mono"/>
          <w:b w:val="0"/>
          <w:i w:val="0"/>
          <w:sz w:val="17"/>
        </w:rPr>
        <w:t>accepted_generation_mwh</w:t>
      </w:r>
      <w:r>
        <w:rPr>
          <w:b w:val="0"/>
          <w:i w:val="0"/>
        </w:rPr>
        <w:t xml:space="preserve"> 和 </w:t>
      </w:r>
      <w:r>
        <w:rPr>
          <w:rFonts w:ascii="DejaVu Sans Mono" w:hAnsi="DejaVu Sans Mono"/>
          <w:b w:val="0"/>
          <w:i w:val="0"/>
          <w:sz w:val="17"/>
        </w:rPr>
        <w:t>curtailed_energy_mwh</w:t>
      </w:r>
      <w:r>
        <w:rPr>
          <w:b w:val="0"/>
          <w:i w:val="0"/>
        </w:rPr>
        <w:t xml:space="preserve">。10 MW 电站在 0.5 h 时段内采用可用率 </w:t>
      </w:r>
      <w:r>
        <w:drawing>
          <wp:inline xmlns:a="http://schemas.openxmlformats.org/drawingml/2006/main" xmlns:pic="http://schemas.openxmlformats.org/drawingml/2006/picture">
            <wp:extent cx="588416" cy="157051"/>
            <wp:docPr id="171" name="Picture 171"/>
            <wp:cNvGraphicFramePr>
              <a:graphicFrameLocks noChangeAspect="1"/>
            </wp:cNvGraphicFramePr>
            <a:graphic>
              <a:graphicData uri="http://schemas.openxmlformats.org/drawingml/2006/picture">
                <pic:pic>
                  <pic:nvPicPr>
                    <pic:cNvPr id="0" name="eq-171.png"/>
                    <pic:cNvPicPr/>
                  </pic:nvPicPr>
                  <pic:blipFill>
                    <a:blip r:embed="rId155"/>
                    <a:stretch>
                      <a:fillRect/>
                    </a:stretch>
                  </pic:blipFill>
                  <pic:spPr>
                    <a:xfrm>
                      <a:off x="0" y="0"/>
                      <a:ext cx="588416" cy="157051"/>
                    </a:xfrm>
                    <a:prstGeom prst="rect"/>
                  </pic:spPr>
                </pic:pic>
              </a:graphicData>
            </a:graphic>
          </wp:inline>
        </w:drawing>
      </w:r>
      <w:r>
        <w:rPr>
          <w:b w:val="0"/>
          <w:i w:val="0"/>
        </w:rPr>
        <w:t xml:space="preserve">⁠，得到 </w:t>
      </w:r>
      <w:r>
        <w:drawing>
          <wp:inline xmlns:a="http://schemas.openxmlformats.org/drawingml/2006/main" xmlns:pic="http://schemas.openxmlformats.org/drawingml/2006/picture">
            <wp:extent cx="588416" cy="157051"/>
            <wp:docPr id="172" name="Picture 172"/>
            <wp:cNvGraphicFramePr>
              <a:graphicFrameLocks noChangeAspect="1"/>
            </wp:cNvGraphicFramePr>
            <a:graphic>
              <a:graphicData uri="http://schemas.openxmlformats.org/drawingml/2006/picture">
                <pic:pic>
                  <pic:nvPicPr>
                    <pic:cNvPr id="0" name="eq-172.png"/>
                    <pic:cNvPicPr/>
                  </pic:nvPicPr>
                  <pic:blipFill>
                    <a:blip r:embed="rId156"/>
                    <a:stretch>
                      <a:fillRect/>
                    </a:stretch>
                  </pic:blipFill>
                  <pic:spPr>
                    <a:xfrm>
                      <a:off x="0" y="0"/>
                      <a:ext cx="588416" cy="157051"/>
                    </a:xfrm>
                    <a:prstGeom prst="rect"/>
                  </pic:spPr>
                </pic:pic>
              </a:graphicData>
            </a:graphic>
          </wp:inline>
        </w:drawing>
      </w:r>
      <w:r>
        <w:rPr>
          <w:b w:val="0"/>
          <w:i w:val="0"/>
        </w:rPr>
        <w:t xml:space="preserve"> MWh。各期独立计算。</w:t>
      </w:r>
    </w:p>
    <w:p>
      <w:pPr>
        <w:pStyle w:val="Heading2"/>
      </w:pPr>
      <w:r>
        <w:rPr>
          <w:b w:val="0"/>
          <w:i w:val="0"/>
        </w:rPr>
        <w:t>常规水库调度</w:t>
      </w:r>
    </w:p>
    <w:p>
      <w:pPr>
        <w:keepNext/>
      </w:pPr>
      <w:r>
        <w:rPr>
          <w:b w:val="0"/>
          <w:i w:val="0"/>
        </w:rPr>
        <w:t>常规水库在完整来水与电力价值时序上分配水量，以最大化发电价值。</w:t>
      </w:r>
      <w:r>
        <w:rPr>
          <w:rFonts w:ascii="DejaVu Sans Mono" w:hAnsi="DejaVu Sans Mono"/>
          <w:b w:val="0"/>
          <w:i w:val="0"/>
          <w:sz w:val="17"/>
        </w:rPr>
        <w:t>reservoir_dispatch</w:t>
      </w:r>
      <w:r>
        <w:rPr>
          <w:b w:val="0"/>
          <w:i w:val="0"/>
        </w:rPr>
        <w:t xml:space="preserve"> 的四类期间变量为涡轮放水 </w:t>
      </w:r>
      <w:r>
        <w:rPr>
          <w:rFonts w:ascii="DejaVu Sans Mono" w:hAnsi="DejaVu Sans Mono"/>
          <w:b w:val="0"/>
          <w:i w:val="0"/>
          <w:sz w:val="17"/>
        </w:rPr>
        <w:t>q</w:t>
      </w:r>
      <w:r>
        <w:rPr>
          <w:b w:val="0"/>
          <w:i w:val="0"/>
        </w:rPr>
        <w:t xml:space="preserve">、生态旁路 </w:t>
      </w:r>
      <w:r>
        <w:rPr>
          <w:rFonts w:ascii="DejaVu Sans Mono" w:hAnsi="DejaVu Sans Mono"/>
          <w:b w:val="0"/>
          <w:i w:val="0"/>
          <w:sz w:val="17"/>
        </w:rPr>
        <w:t>bypass</w:t>
      </w:r>
      <w:r>
        <w:rPr>
          <w:b w:val="0"/>
          <w:i w:val="0"/>
        </w:rPr>
        <w:t xml:space="preserve">、弃水 </w:t>
      </w:r>
      <w:r>
        <w:rPr>
          <w:rFonts w:ascii="DejaVu Sans Mono" w:hAnsi="DejaVu Sans Mono"/>
          <w:b w:val="0"/>
          <w:i w:val="0"/>
          <w:sz w:val="17"/>
        </w:rPr>
        <w:t>spill</w:t>
      </w:r>
      <w:r>
        <w:rPr>
          <w:b w:val="0"/>
          <w:i w:val="0"/>
        </w:rPr>
        <w:t xml:space="preserve"> 和期末库存 </w:t>
      </w:r>
      <w:r>
        <w:rPr>
          <w:rFonts w:ascii="DejaVu Sans Mono" w:hAnsi="DejaVu Sans Mono"/>
          <w:b w:val="0"/>
          <w:i w:val="0"/>
          <w:sz w:val="17"/>
        </w:rPr>
        <w:t>storage</w:t>
      </w:r>
      <w:r>
        <w:rPr>
          <w:b w:val="0"/>
          <w:i w:val="0"/>
        </w:rPr>
        <w:t>，均采用声明的水量单位，前三项表示期间水量。电量转换为</w:t>
      </w:r>
    </w:p>
    <w:p>
      <w:pPr>
        <w:spacing w:after="160"/>
        <w:jc w:val="center"/>
      </w:pPr>
      <w:r>
        <w:drawing>
          <wp:inline xmlns:a="http://schemas.openxmlformats.org/drawingml/2006/main" xmlns:pic="http://schemas.openxmlformats.org/drawingml/2006/picture">
            <wp:extent cx="6217920" cy="135540"/>
            <wp:docPr id="173" name="Picture 173"/>
            <wp:cNvGraphicFramePr>
              <a:graphicFrameLocks noChangeAspect="1"/>
            </wp:cNvGraphicFramePr>
            <a:graphic>
              <a:graphicData uri="http://schemas.openxmlformats.org/drawingml/2006/picture">
                <pic:pic>
                  <pic:nvPicPr>
                    <pic:cNvPr id="0" name="eq-173.png"/>
                    <pic:cNvPicPr/>
                  </pic:nvPicPr>
                  <pic:blipFill>
                    <a:blip r:embed="rId157"/>
                    <a:stretch>
                      <a:fillRect/>
                    </a:stretch>
                  </pic:blipFill>
                  <pic:spPr>
                    <a:xfrm>
                      <a:off x="0" y="0"/>
                      <a:ext cx="6217920" cy="135540"/>
                    </a:xfrm>
                    <a:prstGeom prst="rect"/>
                  </pic:spPr>
                </pic:pic>
              </a:graphicData>
            </a:graphic>
          </wp:inline>
        </w:drawing>
      </w:r>
    </w:p>
    <w:p>
      <w:pPr>
        <w:keepNext/>
      </w:pPr>
      <w:r>
        <w:rPr>
          <w:b w:val="0"/>
          <w:i w:val="0"/>
        </w:rPr>
        <w:t>线性规划最小化发电价值的相反数与小额弃水惩罚之和。</w:t>
      </w:r>
      <w:r>
        <w:rPr>
          <w:rFonts w:ascii="DejaVu Sans Mono" w:hAnsi="DejaVu Sans Mono"/>
          <w:b w:val="0"/>
          <w:i w:val="0"/>
          <w:sz w:val="17"/>
        </w:rPr>
        <w:t>energy_​value_​gbp_​per_​mwh</w:t>
      </w:r>
      <w:r>
        <w:rPr>
          <w:b w:val="0"/>
          <w:i w:val="0"/>
        </w:rPr>
        <w:t xml:space="preserve"> 为外部给定的电力价值时序：</w:t>
      </w:r>
    </w:p>
    <w:p>
      <w:pPr>
        <w:spacing w:after="160"/>
        <w:jc w:val="center"/>
      </w:pPr>
      <w:r>
        <w:drawing>
          <wp:inline xmlns:a="http://schemas.openxmlformats.org/drawingml/2006/main" xmlns:pic="http://schemas.openxmlformats.org/drawingml/2006/picture">
            <wp:extent cx="5587974" cy="365825"/>
            <wp:docPr id="174" name="Picture 174"/>
            <wp:cNvGraphicFramePr>
              <a:graphicFrameLocks noChangeAspect="1"/>
            </wp:cNvGraphicFramePr>
            <a:graphic>
              <a:graphicData uri="http://schemas.openxmlformats.org/drawingml/2006/picture">
                <pic:pic>
                  <pic:nvPicPr>
                    <pic:cNvPr id="0" name="eq-174.png"/>
                    <pic:cNvPicPr/>
                  </pic:nvPicPr>
                  <pic:blipFill>
                    <a:blip r:embed="rId158"/>
                    <a:stretch>
                      <a:fillRect/>
                    </a:stretch>
                  </pic:blipFill>
                  <pic:spPr>
                    <a:xfrm>
                      <a:off x="0" y="0"/>
                      <a:ext cx="5587974" cy="365825"/>
                    </a:xfrm>
                    <a:prstGeom prst="rect"/>
                  </pic:spPr>
                </pic:pic>
              </a:graphicData>
            </a:graphic>
          </wp:inline>
        </w:drawing>
      </w:r>
    </w:p>
    <w:p>
      <w:pPr>
        <w:keepNext/>
      </w:pPr>
      <w:r>
        <w:rPr>
          <w:b w:val="0"/>
          <w:i w:val="0"/>
        </w:rPr>
        <w:t xml:space="preserve">水量连续性连接相邻库存与来水，第一期从 </w:t>
      </w:r>
      <w:r>
        <w:rPr>
          <w:rFonts w:ascii="DejaVu Sans Mono" w:hAnsi="DejaVu Sans Mono"/>
          <w:b w:val="0"/>
          <w:i w:val="0"/>
          <w:sz w:val="17"/>
        </w:rPr>
        <w:t>initial_volume</w:t>
      </w:r>
      <w:r>
        <w:rPr>
          <w:b w:val="0"/>
          <w:i w:val="0"/>
        </w:rPr>
        <w:t xml:space="preserve"> 开始：</w:t>
      </w:r>
    </w:p>
    <w:p>
      <w:pPr>
        <w:spacing w:after="160"/>
        <w:jc w:val="center"/>
      </w:pPr>
      <w:r>
        <w:drawing>
          <wp:inline xmlns:a="http://schemas.openxmlformats.org/drawingml/2006/main" xmlns:pic="http://schemas.openxmlformats.org/drawingml/2006/picture">
            <wp:extent cx="4691405" cy="404668"/>
            <wp:docPr id="175" name="Picture 175"/>
            <wp:cNvGraphicFramePr>
              <a:graphicFrameLocks noChangeAspect="1"/>
            </wp:cNvGraphicFramePr>
            <a:graphic>
              <a:graphicData uri="http://schemas.openxmlformats.org/drawingml/2006/picture">
                <pic:pic>
                  <pic:nvPicPr>
                    <pic:cNvPr id="0" name="eq-175.png"/>
                    <pic:cNvPicPr/>
                  </pic:nvPicPr>
                  <pic:blipFill>
                    <a:blip r:embed="rId159"/>
                    <a:stretch>
                      <a:fillRect/>
                    </a:stretch>
                  </pic:blipFill>
                  <pic:spPr>
                    <a:xfrm>
                      <a:off x="0" y="0"/>
                      <a:ext cx="4691405" cy="404668"/>
                    </a:xfrm>
                    <a:prstGeom prst="rect"/>
                  </pic:spPr>
                </pic:pic>
              </a:graphicData>
            </a:graphic>
          </wp:inline>
        </w:drawing>
      </w:r>
    </w:p>
    <w:p>
      <w:pPr>
        <w:keepNext/>
      </w:pPr>
      <w:r>
        <w:rPr>
          <w:b w:val="0"/>
          <w:i w:val="0"/>
        </w:rPr>
        <w:t>涡轮、普通放水及生态要求共同限制水量分配：</w:t>
      </w:r>
    </w:p>
    <w:p>
      <w:pPr>
        <w:spacing w:after="160"/>
        <w:jc w:val="center"/>
      </w:pPr>
      <w:r>
        <w:drawing>
          <wp:inline xmlns:a="http://schemas.openxmlformats.org/drawingml/2006/main" xmlns:pic="http://schemas.openxmlformats.org/drawingml/2006/picture">
            <wp:extent cx="6217920" cy="498607"/>
            <wp:docPr id="176" name="Picture 176"/>
            <wp:cNvGraphicFramePr>
              <a:graphicFrameLocks noChangeAspect="1"/>
            </wp:cNvGraphicFramePr>
            <a:graphic>
              <a:graphicData uri="http://schemas.openxmlformats.org/drawingml/2006/picture">
                <pic:pic>
                  <pic:nvPicPr>
                    <pic:cNvPr id="0" name="eq-176.png"/>
                    <pic:cNvPicPr/>
                  </pic:nvPicPr>
                  <pic:blipFill>
                    <a:blip r:embed="rId160"/>
                    <a:stretch>
                      <a:fillRect/>
                    </a:stretch>
                  </pic:blipFill>
                  <pic:spPr>
                    <a:xfrm>
                      <a:off x="0" y="0"/>
                      <a:ext cx="6217920" cy="498607"/>
                    </a:xfrm>
                    <a:prstGeom prst="rect"/>
                  </pic:spPr>
                </pic:pic>
              </a:graphicData>
            </a:graphic>
          </wp:inline>
        </w:drawing>
      </w:r>
    </w:p>
    <w:p>
      <w:r>
        <w:rPr>
          <w:b w:val="0"/>
          <w:i w:val="0"/>
        </w:rPr>
        <w:t xml:space="preserve">普通放水上限和生态下限同时约束涡轮放水加旁路，弃水单独进入水量平衡。给定 </w:t>
      </w:r>
      <w:r>
        <w:rPr>
          <w:rFonts w:ascii="DejaVu Sans Mono" w:hAnsi="DejaVu Sans Mono"/>
          <w:b w:val="0"/>
          <w:i w:val="0"/>
          <w:sz w:val="17"/>
        </w:rPr>
        <w:t>terminal_volume</w:t>
      </w:r>
      <w:r>
        <w:rPr>
          <w:b w:val="0"/>
          <w:i w:val="0"/>
        </w:rPr>
        <w:t xml:space="preserve"> 时，期末库存固定为该值；其余情况下，期末库存位于 </w:t>
      </w:r>
      <w:r>
        <w:rPr>
          <w:rFonts w:ascii="DejaVu Sans Mono" w:hAnsi="DejaVu Sans Mono"/>
          <w:b w:val="0"/>
          <w:i w:val="0"/>
          <w:sz w:val="17"/>
        </w:rPr>
        <w:t>min_volume</w:t>
      </w:r>
      <w:r>
        <w:rPr>
          <w:b w:val="0"/>
          <w:i w:val="0"/>
        </w:rPr>
        <w:t xml:space="preserve"> 与 </w:t>
      </w:r>
      <w:r>
        <w:rPr>
          <w:rFonts w:ascii="DejaVu Sans Mono" w:hAnsi="DejaVu Sans Mono"/>
          <w:b w:val="0"/>
          <w:i w:val="0"/>
          <w:sz w:val="17"/>
        </w:rPr>
        <w:t>max_volume</w:t>
      </w:r>
      <w:r>
        <w:rPr>
          <w:b w:val="0"/>
          <w:i w:val="0"/>
        </w:rPr>
        <w:t xml:space="preserve"> 之间。参数检查要求普通放水上限至少等于涡轮放水上限，最大涡轮放水转换的电量至多为 </w:t>
      </w:r>
      <w:r>
        <w:rPr>
          <w:rFonts w:ascii="DejaVu Sans Mono" w:hAnsi="DejaVu Sans Mono"/>
          <w:b w:val="0"/>
          <w:i w:val="0"/>
          <w:sz w:val="17"/>
        </w:rPr>
        <w:t>turbine_capacity_mw</w:t>
      </w:r>
      <w:r>
        <w:rPr>
          <w:b w:val="0"/>
          <w:i w:val="0"/>
        </w:rPr>
        <w:t xml:space="preserve"> 乘 </w:t>
      </w:r>
      <w:r>
        <w:rPr>
          <w:rFonts w:ascii="DejaVu Sans Mono" w:hAnsi="DejaVu Sans Mono"/>
          <w:b w:val="0"/>
          <w:i w:val="0"/>
          <w:sz w:val="17"/>
        </w:rPr>
        <w:t>interval_hours</w:t>
      </w:r>
      <w:r>
        <w:rPr>
          <w:b w:val="0"/>
          <w:i w:val="0"/>
        </w:rPr>
        <w:t xml:space="preserve">，容差为 </w:t>
      </w:r>
      <w:r>
        <w:drawing>
          <wp:inline xmlns:a="http://schemas.openxmlformats.org/drawingml/2006/main" xmlns:pic="http://schemas.openxmlformats.org/drawingml/2006/picture">
            <wp:extent cx="313975" cy="140242"/>
            <wp:docPr id="177" name="Picture 177"/>
            <wp:cNvGraphicFramePr>
              <a:graphicFrameLocks noChangeAspect="1"/>
            </wp:cNvGraphicFramePr>
            <a:graphic>
              <a:graphicData uri="http://schemas.openxmlformats.org/drawingml/2006/picture">
                <pic:pic>
                  <pic:nvPicPr>
                    <pic:cNvPr id="0" name="eq-088.png"/>
                    <pic:cNvPicPr/>
                  </pic:nvPicPr>
                  <pic:blipFill>
                    <a:blip r:embed="rId93"/>
                    <a:stretch>
                      <a:fillRect/>
                    </a:stretch>
                  </pic:blipFill>
                  <pic:spPr>
                    <a:xfrm>
                      <a:off x="0" y="0"/>
                      <a:ext cx="313975" cy="140242"/>
                    </a:xfrm>
                    <a:prstGeom prst="rect"/>
                  </pic:spPr>
                </pic:pic>
              </a:graphicData>
            </a:graphic>
          </wp:inline>
        </w:drawing>
      </w:r>
      <w:r>
        <w:rPr>
          <w:b w:val="0"/>
          <w:i w:val="0"/>
        </w:rPr>
        <w:t xml:space="preserve"> MWh。</w:t>
      </w:r>
    </w:p>
    <w:p>
      <w:r>
        <w:rPr>
          <w:b w:val="0"/>
          <w:i w:val="0"/>
        </w:rPr>
        <w:t>求解器读取完整来水与价值序列，调用一次 SciPy/HiGHS 线性规划。成功求解后返回水量轨迹、发电量和守恒残差，</w:t>
      </w:r>
      <w:r>
        <w:rPr>
          <w:rFonts w:ascii="DejaVu Sans Mono" w:hAnsi="DejaVu Sans Mono"/>
          <w:b w:val="0"/>
          <w:i w:val="0"/>
          <w:sz w:val="17"/>
        </w:rPr>
        <w:t>objective_gbp</w:t>
      </w:r>
      <w:r>
        <w:rPr>
          <w:b w:val="0"/>
          <w:i w:val="0"/>
        </w:rPr>
        <w:t xml:space="preserve"> 为发电价值减弃水惩罚；问题不可行时按求解失败结束。给定的来水和电力价值序列决定完整优化时域。</w:t>
      </w:r>
    </w:p>
    <w:p>
      <w:pPr>
        <w:keepLines/>
        <w:spacing w:line="276" w:lineRule="auto" w:after="160"/>
      </w:pPr>
      <w:r>
        <w:rPr>
          <w:rFonts w:ascii="DejaVu Sans Mono" w:hAnsi="DejaVu Sans Mono"/>
          <w:b w:val="0"/>
          <w:i w:val="0"/>
          <w:sz w:val="17"/>
        </w:rPr>
        <w:t>reservoir_​dispatch(parameters, inflow, *, energy_​value_​gbp_​per_​mwh):</w:t>
        <w:br/>
        <w:t xml:space="preserve">    inflow.validate(); parameters.validate(inflow.interval_​hours)</w:t>
        <w:br/>
        <w:t xml:space="preserve">    conversion = (parameters.conversion_​mwh_​per_​water_​unit</w:t>
        <w:br/>
        <w:t xml:space="preserve">                  * parameters.turbine_​efficiency)</w:t>
        <w:br/>
        <w:t xml:space="preserve">    allocate q, bypass, spill and storage for every period</w:t>
        <w:br/>
        <w:t xml:space="preserve">    assemble objective, water equalities, release inequalities and bounds</w:t>
        <w:br/>
        <w:t xml:space="preserve">    use parameters.terminal_​volume as the final storage bound when supplied</w:t>
        <w:br/>
        <w:t xml:space="preserve">    solved = linprog(objective, A_ub=inequalities, b_ub=upper,</w:t>
        <w:br/>
        <w:t xml:space="preserve">                     A_eq=equalities, b_eq=rhs, bounds=bounds, method="highs")</w:t>
        <w:br/>
        <w:t xml:space="preserve">    generation = q * conversion</w:t>
        <w:br/>
        <w:t xml:space="preserve">    check previous + inflow.values[period] - q - bypass - spill - storage</w:t>
        <w:br/>
        <w:t xml:space="preserve">    return generation, water trajectories and residuals</w:t>
        <w:br/>
      </w:r>
    </w:p>
    <w:p>
      <w:pPr>
        <w:pStyle w:val="Heading2"/>
      </w:pPr>
      <w:r>
        <w:rPr>
          <w:b w:val="0"/>
          <w:i w:val="0"/>
        </w:rPr>
        <w:t>水文输入的组装</w:t>
      </w:r>
    </w:p>
    <w:p>
      <w:r>
        <w:rPr>
          <w:b w:val="0"/>
          <w:i w:val="0"/>
        </w:rPr>
        <w:t xml:space="preserve">天然水文输入包括站点表、资产到站点映射、径流式水电来水、水库来水和水库参数。站点声明技术、装机、涡轮效率、节点、来源及许可；抽蓄采用电储能模型。每项资产分配至一个站点，映射份额位于 </w:t>
      </w:r>
      <w:r>
        <w:drawing>
          <wp:inline xmlns:a="http://schemas.openxmlformats.org/drawingml/2006/main" xmlns:pic="http://schemas.openxmlformats.org/drawingml/2006/picture">
            <wp:extent cx="333743" cy="157426"/>
            <wp:docPr id="178" name="Picture 178"/>
            <wp:cNvGraphicFramePr>
              <a:graphicFrameLocks noChangeAspect="1"/>
            </wp:cNvGraphicFramePr>
            <a:graphic>
              <a:graphicData uri="http://schemas.openxmlformats.org/drawingml/2006/picture">
                <pic:pic>
                  <pic:nvPicPr>
                    <pic:cNvPr id="0" name="eq-157.png"/>
                    <pic:cNvPicPr/>
                  </pic:nvPicPr>
                  <pic:blipFill>
                    <a:blip r:embed="rId146"/>
                    <a:stretch>
                      <a:fillRect/>
                    </a:stretch>
                  </pic:blipFill>
                  <pic:spPr>
                    <a:xfrm>
                      <a:off x="0" y="0"/>
                      <a:ext cx="333743" cy="157426"/>
                    </a:xfrm>
                    <a:prstGeom prst="rect"/>
                  </pic:spPr>
                </pic:pic>
              </a:graphicData>
            </a:graphic>
          </wp:inline>
        </w:drawing>
      </w:r>
      <w:r>
        <w:rPr>
          <w:b w:val="0"/>
          <w:i w:val="0"/>
        </w:rPr>
        <w:t>⁠，同一资产份额合计至多为 1。</w:t>
      </w:r>
    </w:p>
    <w:p>
      <w:r>
        <w:rPr>
          <w:b w:val="0"/>
          <w:i w:val="0"/>
        </w:rPr>
        <w:t xml:space="preserve">来水 CSV 提供带时区的时间戳、时段长度、站点标识、数值及水量或电力可用率单位。适配器要求数值有限且非负、时间戳唯一、单位一致；给定预期时序时逐期核对。站点、映射及参数表接受 JSON 或 CSV，缺失值处理声明为 </w:t>
      </w:r>
      <w:r>
        <w:rPr>
          <w:rFonts w:ascii="DejaVu Sans Mono" w:hAnsi="DejaVu Sans Mono"/>
          <w:b w:val="0"/>
          <w:i w:val="0"/>
          <w:sz w:val="17"/>
        </w:rPr>
        <w:t>none</w:t>
      </w:r>
      <w:r>
        <w:rPr>
          <w:b w:val="0"/>
          <w:i w:val="0"/>
        </w:rPr>
        <w:t>。</w:t>
      </w:r>
    </w:p>
    <w:p>
      <w:r>
        <w:rPr>
          <w:rFonts w:ascii="DejaVu Sans Mono" w:hAnsi="DejaVu Sans Mono"/>
          <w:b w:val="0"/>
          <w:i w:val="0"/>
          <w:sz w:val="17"/>
        </w:rPr>
        <w:t>load_​hydrology_​inputs_​from_​pack</w:t>
      </w:r>
      <w:r>
        <w:rPr>
          <w:b w:val="0"/>
          <w:i w:val="0"/>
        </w:rPr>
        <w:t xml:space="preserve"> 按 </w:t>
      </w:r>
      <w:r>
        <w:rPr>
          <w:rFonts w:ascii="DejaVu Sans Mono" w:hAnsi="DejaVu Sans Mono"/>
          <w:b w:val="0"/>
          <w:i w:val="0"/>
          <w:sz w:val="17"/>
        </w:rPr>
        <w:t>site_id</w:t>
      </w:r>
      <w:r>
        <w:rPr>
          <w:b w:val="0"/>
          <w:i w:val="0"/>
        </w:rPr>
        <w:t xml:space="preserve"> 连接站点、映射、来水及参数表，</w:t>
      </w:r>
      <w:r>
        <w:rPr>
          <w:rFonts w:ascii="DejaVu Sans Mono" w:hAnsi="DejaVu Sans Mono"/>
          <w:b w:val="0"/>
          <w:i w:val="0"/>
          <w:sz w:val="17"/>
        </w:rPr>
        <w:t>adapt_hydrology_csv</w:t>
      </w:r>
      <w:r>
        <w:rPr>
          <w:b w:val="0"/>
          <w:i w:val="0"/>
        </w:rPr>
        <w:t xml:space="preserve"> 保留声明的间隔与单位。独立函数 </w:t>
      </w:r>
      <w:r>
        <w:rPr>
          <w:rFonts w:ascii="DejaVu Sans Mono" w:hAnsi="DejaVu Sans Mono"/>
          <w:b w:val="0"/>
          <w:i w:val="0"/>
          <w:sz w:val="17"/>
        </w:rPr>
        <w:t>run_of_river_dispatch</w:t>
      </w:r>
      <w:r>
        <w:rPr>
          <w:b w:val="0"/>
          <w:i w:val="0"/>
        </w:rPr>
        <w:t xml:space="preserve"> 接收站点与来水记录，返回以 MWh 表示的 </w:t>
      </w:r>
      <w:r>
        <w:rPr>
          <w:rFonts w:ascii="DejaVu Sans Mono" w:hAnsi="DejaVu Sans Mono"/>
          <w:b w:val="0"/>
          <w:i w:val="0"/>
          <w:sz w:val="17"/>
        </w:rPr>
        <w:t>available_energy_mwh</w:t>
      </w:r>
      <w:r>
        <w:rPr>
          <w:b w:val="0"/>
          <w:i w:val="0"/>
        </w:rPr>
        <w:t>、</w:t>
      </w:r>
      <w:r>
        <w:rPr>
          <w:rFonts w:ascii="DejaVu Sans Mono" w:hAnsi="DejaVu Sans Mono"/>
          <w:b w:val="0"/>
          <w:i w:val="0"/>
          <w:sz w:val="17"/>
        </w:rPr>
        <w:t>accepted_generation_mwh</w:t>
      </w:r>
      <w:r>
        <w:rPr>
          <w:b w:val="0"/>
          <w:i w:val="0"/>
        </w:rPr>
        <w:t xml:space="preserve"> 和 </w:t>
      </w:r>
      <w:r>
        <w:rPr>
          <w:rFonts w:ascii="DejaVu Sans Mono" w:hAnsi="DejaVu Sans Mono"/>
          <w:b w:val="0"/>
          <w:i w:val="0"/>
          <w:sz w:val="17"/>
        </w:rPr>
        <w:t>curtailed_energy_mwh</w:t>
      </w:r>
      <w:r>
        <w:rPr>
          <w:b w:val="0"/>
          <w:i w:val="0"/>
        </w:rPr>
        <w:t>。</w:t>
      </w:r>
      <w:r>
        <w:rPr>
          <w:rFonts w:ascii="DejaVu Sans Mono" w:hAnsi="DejaVu Sans Mono"/>
          <w:b w:val="0"/>
          <w:i w:val="0"/>
          <w:sz w:val="17"/>
        </w:rPr>
        <w:t>reservoir_dispatch</w:t>
      </w:r>
      <w:r>
        <w:rPr>
          <w:b w:val="0"/>
          <w:i w:val="0"/>
        </w:rPr>
        <w:t xml:space="preserve"> 接收水库参数、来水和电量价值，返回以 MWh 表示的 </w:t>
      </w:r>
      <w:r>
        <w:rPr>
          <w:rFonts w:ascii="DejaVu Sans Mono" w:hAnsi="DejaVu Sans Mono"/>
          <w:b w:val="0"/>
          <w:i w:val="0"/>
          <w:sz w:val="17"/>
        </w:rPr>
        <w:t>generation_mwh</w:t>
      </w:r>
      <w:r>
        <w:rPr>
          <w:b w:val="0"/>
          <w:i w:val="0"/>
        </w:rPr>
        <w:t xml:space="preserve"> 及以声明水量单位表示的水量轨迹。</w:t>
      </w:r>
    </w:p>
    <w:p>
      <w:pPr>
        <w:pStyle w:val="Heading1"/>
      </w:pPr>
      <w:r>
        <w:rPr>
          <w:b w:val="0"/>
          <w:i w:val="0"/>
        </w:rPr>
        <w:t>9 碳排放核算参数</w:t>
      </w:r>
    </w:p>
    <w:p>
      <w:r>
        <w:rPr>
          <w:b w:val="0"/>
          <w:i w:val="0"/>
        </w:rPr>
        <w:t xml:space="preserve">VALUE 将运行排放和设备建设排放分别计算，再按所选核算情景汇总。运行排放随实际发电量和进口电量变化，建设排放随在役设备容量及年化规则变化。因子集由 </w:t>
      </w:r>
      <w:r>
        <w:rPr>
          <w:rFonts w:ascii="DejaVu Sans Mono" w:hAnsi="DejaVu Sans Mono"/>
          <w:b w:val="0"/>
          <w:i w:val="0"/>
          <w:sz w:val="17"/>
        </w:rPr>
        <w:t>value_​current_​authoritative_​v1</w:t>
      </w:r>
      <w:r>
        <w:rPr>
          <w:b w:val="0"/>
          <w:i w:val="0"/>
        </w:rPr>
        <w:t xml:space="preserve"> 指定。</w:t>
      </w:r>
    </w:p>
    <w:p>
      <w:pPr>
        <w:pStyle w:val="Heading2"/>
      </w:pPr>
      <w:r>
        <w:rPr>
          <w:b w:val="0"/>
          <w:i w:val="0"/>
        </w:rPr>
        <w:t>发电与进口电力</w:t>
      </w:r>
    </w:p>
    <w:p>
      <w:pPr>
        <w:keepNext/>
      </w:pPr>
      <w:r>
        <w:rPr>
          <w:b w:val="0"/>
          <w:i w:val="0"/>
        </w:rPr>
        <w:t xml:space="preserve">运行排放按发电或进口电量乘以所选因子计算。在 </w:t>
      </w:r>
      <w:r>
        <w:rPr>
          <w:rFonts w:ascii="DejaVu Sans Mono" w:hAnsi="DejaVu Sans Mono"/>
          <w:b w:val="0"/>
          <w:i w:val="0"/>
          <w:sz w:val="17"/>
        </w:rPr>
        <w:t>build_​operational_​carbon_​ledger</w:t>
      </w:r>
      <w:r>
        <w:rPr>
          <w:b w:val="0"/>
          <w:i w:val="0"/>
        </w:rPr>
        <w:t xml:space="preserve"> 中，</w:t>
      </w:r>
      <w:r>
        <w:rPr>
          <w:rFonts w:ascii="DejaVu Sans Mono" w:hAnsi="DejaVu Sans Mono"/>
          <w:b w:val="0"/>
          <w:i w:val="0"/>
          <w:sz w:val="17"/>
        </w:rPr>
        <w:t>activity</w:t>
      </w:r>
      <w:r>
        <w:rPr>
          <w:b w:val="0"/>
          <w:i w:val="0"/>
        </w:rPr>
        <w:t xml:space="preserve"> 是从 </w:t>
      </w:r>
      <w:r>
        <w:rPr>
          <w:rFonts w:ascii="DejaVu Sans Mono" w:hAnsi="DejaVu Sans Mono"/>
          <w:b w:val="0"/>
          <w:i w:val="0"/>
          <w:sz w:val="17"/>
        </w:rPr>
        <w:t>generation_mwh_by_asset</w:t>
      </w:r>
      <w:r>
        <w:rPr>
          <w:b w:val="0"/>
          <w:i w:val="0"/>
        </w:rPr>
        <w:t xml:space="preserve"> 读取的各 </w:t>
      </w:r>
      <w:r>
        <w:rPr>
          <w:rFonts w:ascii="DejaVu Sans Mono" w:hAnsi="DejaVu Sans Mono"/>
          <w:b w:val="0"/>
          <w:i w:val="0"/>
          <w:sz w:val="17"/>
        </w:rPr>
        <w:t>asset_id</w:t>
      </w:r>
      <w:r>
        <w:rPr>
          <w:b w:val="0"/>
          <w:i w:val="0"/>
        </w:rPr>
        <w:t xml:space="preserve"> 电量，单位为 MWh；</w:t>
      </w:r>
      <w:r>
        <w:rPr>
          <w:rFonts w:ascii="DejaVu Sans Mono" w:hAnsi="DejaVu Sans Mono"/>
          <w:b w:val="0"/>
          <w:i w:val="0"/>
          <w:sz w:val="17"/>
        </w:rPr>
        <w:t>kg</w:t>
      </w:r>
      <w:r>
        <w:rPr>
          <w:b w:val="0"/>
          <w:i w:val="0"/>
        </w:rPr>
        <w:t xml:space="preserve"> 是换算为 kg/MWh 的因子。各条 </w:t>
      </w:r>
      <w:r>
        <w:rPr>
          <w:rFonts w:ascii="DejaVu Sans Mono" w:hAnsi="DejaVu Sans Mono"/>
          <w:b w:val="0"/>
          <w:i w:val="0"/>
          <w:sz w:val="17"/>
        </w:rPr>
        <w:t>emissions_tco2e</w:t>
      </w:r>
      <w:r>
        <w:rPr>
          <w:b w:val="0"/>
          <w:i w:val="0"/>
        </w:rPr>
        <w:t xml:space="preserve"> 记录排放吨数，</w:t>
      </w:r>
      <w:r>
        <w:rPr>
          <w:rFonts w:ascii="DejaVu Sans Mono" w:hAnsi="DejaVu Sans Mono"/>
          <w:b w:val="0"/>
          <w:i w:val="0"/>
          <w:sz w:val="17"/>
        </w:rPr>
        <w:t>operational</w:t>
      </w:r>
      <w:r>
        <w:rPr>
          <w:b w:val="0"/>
          <w:i w:val="0"/>
        </w:rPr>
        <w:t xml:space="preserve"> 汇总这些记录：</w:t>
      </w:r>
    </w:p>
    <w:p>
      <w:pPr>
        <w:spacing w:after="160"/>
        <w:jc w:val="center"/>
      </w:pPr>
      <w:r>
        <w:drawing>
          <wp:inline xmlns:a="http://schemas.openxmlformats.org/drawingml/2006/main" xmlns:pic="http://schemas.openxmlformats.org/drawingml/2006/picture">
            <wp:extent cx="4586478" cy="788801"/>
            <wp:docPr id="179" name="Picture 179"/>
            <wp:cNvGraphicFramePr>
              <a:graphicFrameLocks noChangeAspect="1"/>
            </wp:cNvGraphicFramePr>
            <a:graphic>
              <a:graphicData uri="http://schemas.openxmlformats.org/drawingml/2006/picture">
                <pic:pic>
                  <pic:nvPicPr>
                    <pic:cNvPr id="0" name="eq-179.png"/>
                    <pic:cNvPicPr/>
                  </pic:nvPicPr>
                  <pic:blipFill>
                    <a:blip r:embed="rId161"/>
                    <a:stretch>
                      <a:fillRect/>
                    </a:stretch>
                  </pic:blipFill>
                  <pic:spPr>
                    <a:xfrm>
                      <a:off x="0" y="0"/>
                      <a:ext cx="4586478" cy="788801"/>
                    </a:xfrm>
                    <a:prstGeom prst="rect"/>
                  </pic:spPr>
                </pic:pic>
              </a:graphicData>
            </a:graphic>
          </wp:inline>
        </w:drawing>
      </w:r>
    </w:p>
    <w:p>
      <w:r>
        <w:rPr>
          <w:b w:val="0"/>
          <w:i w:val="0"/>
        </w:rPr>
        <w:t>结果单位为吨，气体范围随所用因子的 CO₂ 或 CO₂e 定义保留。表中的零值对应发电环节的直接运行边界，设备建设排放通过下一节按容量计量的排放因子计算。进口因子采用固定的国家均值或备用值。</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56"/>
        <w:gridCol w:w="2006"/>
        <w:gridCol w:w="1742"/>
        <w:gridCol w:w="2888"/>
      </w:tblGrid>
      <w:tr>
        <w:trPr>
          <w:cantSplit/>
          <w:tblHeader w:val="true"/>
        </w:trPr>
        <w:tc>
          <w:tcPr>
            <w:tcW w:type="dxa" w:w="3156"/>
            <w:vAlign w:val="center"/>
            <w:tcMar>
              <w:top w:w="60" w:type="dxa"/>
              <w:left w:w="90" w:type="dxa"/>
              <w:bottom w:w="60" w:type="dxa"/>
              <w:right w:w="90" w:type="dxa"/>
            </w:tcMar>
            <w:shd w:fill="EEEEEE"/>
          </w:tcPr>
          <w:p>
            <w:pPr>
              <w:spacing w:after="40" w:line="276" w:lineRule="auto"/>
            </w:pPr>
            <w:r>
              <w:rPr>
                <w:b/>
                <w:i w:val="0"/>
                <w:sz w:val="18"/>
              </w:rPr>
              <w:t>发电技术或进口来源</w:t>
            </w:r>
          </w:p>
        </w:tc>
        <w:tc>
          <w:tcPr>
            <w:tcW w:type="dxa" w:w="2006"/>
            <w:vAlign w:val="center"/>
            <w:tcMar>
              <w:top w:w="60" w:type="dxa"/>
              <w:left w:w="90" w:type="dxa"/>
              <w:bottom w:w="60" w:type="dxa"/>
              <w:right w:w="90" w:type="dxa"/>
            </w:tcMar>
            <w:shd w:fill="EEEEEE"/>
          </w:tcPr>
          <w:p>
            <w:pPr>
              <w:spacing w:after="40" w:line="276" w:lineRule="auto"/>
            </w:pPr>
            <w:r>
              <w:rPr>
                <w:b/>
                <w:i w:val="0"/>
                <w:sz w:val="18"/>
              </w:rPr>
              <w:t>因子 kg/MWh</w:t>
            </w:r>
          </w:p>
        </w:tc>
        <w:tc>
          <w:tcPr>
            <w:tcW w:type="dxa" w:w="1742"/>
            <w:vAlign w:val="center"/>
            <w:tcMar>
              <w:top w:w="60" w:type="dxa"/>
              <w:left w:w="90" w:type="dxa"/>
              <w:bottom w:w="60" w:type="dxa"/>
              <w:right w:w="90" w:type="dxa"/>
            </w:tcMar>
            <w:shd w:fill="EEEEEE"/>
          </w:tcPr>
          <w:p>
            <w:pPr>
              <w:spacing w:after="40" w:line="276" w:lineRule="auto"/>
            </w:pPr>
            <w:r>
              <w:rPr>
                <w:b/>
                <w:i w:val="0"/>
                <w:sz w:val="18"/>
              </w:rPr>
              <w:t>气体口径</w:t>
            </w:r>
          </w:p>
        </w:tc>
        <w:tc>
          <w:tcPr>
            <w:tcW w:type="dxa" w:w="2888"/>
            <w:vAlign w:val="center"/>
            <w:tcMar>
              <w:top w:w="60" w:type="dxa"/>
              <w:left w:w="90" w:type="dxa"/>
              <w:bottom w:w="60" w:type="dxa"/>
              <w:right w:w="90" w:type="dxa"/>
            </w:tcMar>
            <w:shd w:fill="EEEEEE"/>
          </w:tcPr>
          <w:p>
            <w:pPr>
              <w:spacing w:after="40" w:line="276" w:lineRule="auto"/>
            </w:pPr>
            <w:r>
              <w:rPr>
                <w:b/>
                <w:i w:val="0"/>
                <w:sz w:val="18"/>
              </w:rPr>
              <w:t>数据依据</w:t>
            </w:r>
          </w:p>
        </w:tc>
      </w:tr>
      <w:tr>
        <w:trPr>
          <w:cantSplit/>
        </w:trPr>
        <w:tc>
          <w:tcPr>
            <w:tcW w:type="dxa" w:w="3156"/>
            <w:vAlign w:val="center"/>
            <w:tcMar>
              <w:top w:w="60" w:type="dxa"/>
              <w:left w:w="90" w:type="dxa"/>
              <w:bottom w:w="60" w:type="dxa"/>
              <w:right w:w="90" w:type="dxa"/>
            </w:tcMar>
          </w:tcPr>
          <w:p>
            <w:pPr>
              <w:spacing w:after="40" w:line="276" w:lineRule="auto"/>
            </w:pPr>
            <w:r>
              <w:rPr>
                <w:b w:val="0"/>
                <w:i w:val="0"/>
                <w:sz w:val="18"/>
              </w:rPr>
              <w:t>联合循环燃气</w:t>
            </w:r>
          </w:p>
        </w:tc>
        <w:tc>
          <w:tcPr>
            <w:tcW w:type="dxa" w:w="2006"/>
            <w:vAlign w:val="center"/>
            <w:tcMar>
              <w:top w:w="60" w:type="dxa"/>
              <w:left w:w="90" w:type="dxa"/>
              <w:bottom w:w="60" w:type="dxa"/>
              <w:right w:w="90" w:type="dxa"/>
            </w:tcMar>
          </w:tcPr>
          <w:p>
            <w:pPr>
              <w:spacing w:after="40" w:line="276" w:lineRule="auto"/>
            </w:pPr>
            <w:r>
              <w:rPr>
                <w:b w:val="0"/>
                <w:i w:val="0"/>
                <w:sz w:val="18"/>
              </w:rPr>
              <w:t>394</w:t>
            </w:r>
          </w:p>
        </w:tc>
        <w:tc>
          <w:tcPr>
            <w:tcW w:type="dxa" w:w="1742"/>
            <w:vAlign w:val="center"/>
            <w:tcMar>
              <w:top w:w="60" w:type="dxa"/>
              <w:left w:w="90" w:type="dxa"/>
              <w:bottom w:w="60" w:type="dxa"/>
              <w:right w:w="90" w:type="dxa"/>
            </w:tcMar>
          </w:tcPr>
          <w:p>
            <w:pPr>
              <w:spacing w:after="40" w:line="276" w:lineRule="auto"/>
            </w:pPr>
            <w:r>
              <w:rPr>
                <w:b w:val="0"/>
                <w:i w:val="0"/>
                <w:sz w:val="18"/>
              </w:rPr>
              <w:t>CO₂</w:t>
            </w:r>
          </w:p>
        </w:tc>
        <w:tc>
          <w:tcPr>
            <w:tcW w:type="dxa" w:w="2888"/>
            <w:vAlign w:val="center"/>
            <w:tcMar>
              <w:top w:w="60" w:type="dxa"/>
              <w:left w:w="90" w:type="dxa"/>
              <w:bottom w:w="60" w:type="dxa"/>
              <w:right w:w="90" w:type="dxa"/>
            </w:tcMar>
          </w:tcPr>
          <w:p>
            <w:pPr>
              <w:spacing w:after="40" w:line="276" w:lineRule="auto"/>
            </w:pPr>
            <w:r>
              <w:rPr>
                <w:b w:val="0"/>
                <w:i w:val="0"/>
                <w:sz w:val="18"/>
              </w:rPr>
              <w:t>NESO 2024 年区域碳强度方法</w:t>
            </w:r>
          </w:p>
        </w:tc>
      </w:tr>
      <w:tr>
        <w:trPr>
          <w:cantSplit/>
        </w:trPr>
        <w:tc>
          <w:tcPr>
            <w:tcW w:type="dxa" w:w="3156"/>
            <w:vAlign w:val="center"/>
            <w:tcMar>
              <w:top w:w="60" w:type="dxa"/>
              <w:left w:w="90" w:type="dxa"/>
              <w:bottom w:w="60" w:type="dxa"/>
              <w:right w:w="90" w:type="dxa"/>
            </w:tcMar>
          </w:tcPr>
          <w:p>
            <w:pPr>
              <w:spacing w:after="40" w:line="276" w:lineRule="auto"/>
            </w:pPr>
            <w:r>
              <w:rPr>
                <w:b w:val="0"/>
                <w:i w:val="0"/>
                <w:sz w:val="18"/>
              </w:rPr>
              <w:t>开式循环燃气</w:t>
            </w:r>
          </w:p>
        </w:tc>
        <w:tc>
          <w:tcPr>
            <w:tcW w:type="dxa" w:w="2006"/>
            <w:vAlign w:val="center"/>
            <w:tcMar>
              <w:top w:w="60" w:type="dxa"/>
              <w:left w:w="90" w:type="dxa"/>
              <w:bottom w:w="60" w:type="dxa"/>
              <w:right w:w="90" w:type="dxa"/>
            </w:tcMar>
          </w:tcPr>
          <w:p>
            <w:pPr>
              <w:spacing w:after="40" w:line="276" w:lineRule="auto"/>
            </w:pPr>
            <w:r>
              <w:rPr>
                <w:b w:val="0"/>
                <w:i w:val="0"/>
                <w:sz w:val="18"/>
              </w:rPr>
              <w:t>651</w:t>
            </w:r>
          </w:p>
        </w:tc>
        <w:tc>
          <w:tcPr>
            <w:tcW w:type="dxa" w:w="1742"/>
            <w:vAlign w:val="center"/>
            <w:tcMar>
              <w:top w:w="60" w:type="dxa"/>
              <w:left w:w="90" w:type="dxa"/>
              <w:bottom w:w="60" w:type="dxa"/>
              <w:right w:w="90" w:type="dxa"/>
            </w:tcMar>
          </w:tcPr>
          <w:p>
            <w:pPr>
              <w:spacing w:after="40" w:line="276" w:lineRule="auto"/>
            </w:pPr>
            <w:r>
              <w:rPr>
                <w:b w:val="0"/>
                <w:i w:val="0"/>
                <w:sz w:val="18"/>
              </w:rPr>
              <w:t>CO₂</w:t>
            </w:r>
          </w:p>
        </w:tc>
        <w:tc>
          <w:tcPr>
            <w:tcW w:type="dxa" w:w="2888"/>
            <w:vAlign w:val="center"/>
            <w:tcMar>
              <w:top w:w="60" w:type="dxa"/>
              <w:left w:w="90" w:type="dxa"/>
              <w:bottom w:w="60" w:type="dxa"/>
              <w:right w:w="90" w:type="dxa"/>
            </w:tcMar>
          </w:tcPr>
          <w:p>
            <w:pPr>
              <w:spacing w:after="40" w:line="276" w:lineRule="auto"/>
            </w:pPr>
            <w:r>
              <w:rPr>
                <w:b w:val="0"/>
                <w:i w:val="0"/>
                <w:sz w:val="18"/>
              </w:rPr>
              <w:t>NESO 2024 年区域碳强度方法</w:t>
            </w:r>
          </w:p>
        </w:tc>
      </w:tr>
      <w:tr>
        <w:trPr>
          <w:cantSplit/>
        </w:trPr>
        <w:tc>
          <w:tcPr>
            <w:tcW w:type="dxa" w:w="3156"/>
            <w:vAlign w:val="center"/>
            <w:tcMar>
              <w:top w:w="60" w:type="dxa"/>
              <w:left w:w="90" w:type="dxa"/>
              <w:bottom w:w="60" w:type="dxa"/>
              <w:right w:w="90" w:type="dxa"/>
            </w:tcMar>
          </w:tcPr>
          <w:p>
            <w:pPr>
              <w:spacing w:after="40" w:line="276" w:lineRule="auto"/>
            </w:pPr>
            <w:r>
              <w:rPr>
                <w:b w:val="0"/>
                <w:i w:val="0"/>
                <w:sz w:val="18"/>
              </w:rPr>
              <w:t>生物质</w:t>
            </w:r>
          </w:p>
        </w:tc>
        <w:tc>
          <w:tcPr>
            <w:tcW w:type="dxa" w:w="2006"/>
            <w:vAlign w:val="center"/>
            <w:tcMar>
              <w:top w:w="60" w:type="dxa"/>
              <w:left w:w="90" w:type="dxa"/>
              <w:bottom w:w="60" w:type="dxa"/>
              <w:right w:w="90" w:type="dxa"/>
            </w:tcMar>
          </w:tcPr>
          <w:p>
            <w:pPr>
              <w:spacing w:after="40" w:line="276" w:lineRule="auto"/>
            </w:pPr>
            <w:r>
              <w:rPr>
                <w:b w:val="0"/>
                <w:i w:val="0"/>
                <w:sz w:val="18"/>
              </w:rPr>
              <w:t>120</w:t>
            </w:r>
          </w:p>
        </w:tc>
        <w:tc>
          <w:tcPr>
            <w:tcW w:type="dxa" w:w="1742"/>
            <w:vAlign w:val="center"/>
            <w:tcMar>
              <w:top w:w="60" w:type="dxa"/>
              <w:left w:w="90" w:type="dxa"/>
              <w:bottom w:w="60" w:type="dxa"/>
              <w:right w:w="90" w:type="dxa"/>
            </w:tcMar>
          </w:tcPr>
          <w:p>
            <w:pPr>
              <w:spacing w:after="40" w:line="276" w:lineRule="auto"/>
            </w:pPr>
            <w:r>
              <w:rPr>
                <w:b w:val="0"/>
                <w:i w:val="0"/>
                <w:sz w:val="18"/>
              </w:rPr>
              <w:t>CO₂e</w:t>
            </w:r>
          </w:p>
        </w:tc>
        <w:tc>
          <w:tcPr>
            <w:tcW w:type="dxa" w:w="2888"/>
            <w:vAlign w:val="center"/>
            <w:tcMar>
              <w:top w:w="60" w:type="dxa"/>
              <w:left w:w="90" w:type="dxa"/>
              <w:bottom w:w="60" w:type="dxa"/>
              <w:right w:w="90" w:type="dxa"/>
            </w:tcMar>
          </w:tcPr>
          <w:p>
            <w:pPr>
              <w:spacing w:after="40" w:line="276" w:lineRule="auto"/>
            </w:pPr>
            <w:r>
              <w:rPr>
                <w:b w:val="0"/>
                <w:i w:val="0"/>
                <w:sz w:val="18"/>
              </w:rPr>
              <w:t>NESO 2024 年区域碳强度方法</w:t>
            </w:r>
          </w:p>
        </w:tc>
      </w:tr>
      <w:tr>
        <w:trPr>
          <w:cantSplit/>
        </w:trPr>
        <w:tc>
          <w:tcPr>
            <w:tcW w:type="dxa" w:w="3156"/>
            <w:vAlign w:val="center"/>
            <w:tcMar>
              <w:top w:w="60" w:type="dxa"/>
              <w:left w:w="90" w:type="dxa"/>
              <w:bottom w:w="60" w:type="dxa"/>
              <w:right w:w="90" w:type="dxa"/>
            </w:tcMar>
          </w:tcPr>
          <w:p>
            <w:pPr>
              <w:spacing w:after="40" w:line="276" w:lineRule="auto"/>
            </w:pPr>
            <w:r>
              <w:rPr>
                <w:b w:val="0"/>
                <w:i w:val="0"/>
                <w:sz w:val="18"/>
              </w:rPr>
              <w:t>风电 光伏 核电 天然水电 抽水蓄能</w:t>
            </w:r>
          </w:p>
        </w:tc>
        <w:tc>
          <w:tcPr>
            <w:tcW w:type="dxa" w:w="2006"/>
            <w:vAlign w:val="center"/>
            <w:tcMar>
              <w:top w:w="60" w:type="dxa"/>
              <w:left w:w="90" w:type="dxa"/>
              <w:bottom w:w="60" w:type="dxa"/>
              <w:right w:w="90" w:type="dxa"/>
            </w:tcMar>
          </w:tcPr>
          <w:p>
            <w:pPr>
              <w:spacing w:after="40" w:line="276" w:lineRule="auto"/>
            </w:pPr>
            <w:r>
              <w:rPr>
                <w:b w:val="0"/>
                <w:i w:val="0"/>
                <w:sz w:val="18"/>
              </w:rPr>
              <w:t>0</w:t>
            </w:r>
          </w:p>
        </w:tc>
        <w:tc>
          <w:tcPr>
            <w:tcW w:type="dxa" w:w="1742"/>
            <w:vAlign w:val="center"/>
            <w:tcMar>
              <w:top w:w="60" w:type="dxa"/>
              <w:left w:w="90" w:type="dxa"/>
              <w:bottom w:w="60" w:type="dxa"/>
              <w:right w:w="90" w:type="dxa"/>
            </w:tcMar>
          </w:tcPr>
          <w:p>
            <w:pPr>
              <w:spacing w:after="40" w:line="276" w:lineRule="auto"/>
            </w:pPr>
            <w:r>
              <w:rPr>
                <w:b w:val="0"/>
                <w:i w:val="0"/>
                <w:sz w:val="18"/>
              </w:rPr>
              <w:t>CO₂</w:t>
            </w:r>
          </w:p>
        </w:tc>
        <w:tc>
          <w:tcPr>
            <w:tcW w:type="dxa" w:w="2888"/>
            <w:vAlign w:val="center"/>
            <w:tcMar>
              <w:top w:w="60" w:type="dxa"/>
              <w:left w:w="90" w:type="dxa"/>
              <w:bottom w:w="60" w:type="dxa"/>
              <w:right w:w="90" w:type="dxa"/>
            </w:tcMar>
          </w:tcPr>
          <w:p>
            <w:pPr>
              <w:spacing w:after="40" w:line="276" w:lineRule="auto"/>
            </w:pPr>
            <w:r>
              <w:rPr>
                <w:b w:val="0"/>
                <w:i w:val="0"/>
                <w:sz w:val="18"/>
              </w:rPr>
              <w:t>NESO 发电环节边界</w:t>
            </w:r>
          </w:p>
        </w:tc>
      </w:tr>
      <w:tr>
        <w:trPr>
          <w:cantSplit/>
        </w:trPr>
        <w:tc>
          <w:tcPr>
            <w:tcW w:type="dxa" w:w="3156"/>
            <w:vAlign w:val="center"/>
            <w:tcMar>
              <w:top w:w="60" w:type="dxa"/>
              <w:left w:w="90" w:type="dxa"/>
              <w:bottom w:w="60" w:type="dxa"/>
              <w:right w:w="90" w:type="dxa"/>
            </w:tcMar>
          </w:tcPr>
          <w:p>
            <w:pPr>
              <w:spacing w:after="40" w:line="276" w:lineRule="auto"/>
            </w:pPr>
            <w:r>
              <w:rPr>
                <w:b w:val="0"/>
                <w:i w:val="0"/>
                <w:sz w:val="18"/>
              </w:rPr>
              <w:t>法国进口</w:t>
            </w:r>
          </w:p>
        </w:tc>
        <w:tc>
          <w:tcPr>
            <w:tcW w:type="dxa" w:w="2006"/>
            <w:vAlign w:val="center"/>
            <w:tcMar>
              <w:top w:w="60" w:type="dxa"/>
              <w:left w:w="90" w:type="dxa"/>
              <w:bottom w:w="60" w:type="dxa"/>
              <w:right w:w="90" w:type="dxa"/>
            </w:tcMar>
          </w:tcPr>
          <w:p>
            <w:pPr>
              <w:spacing w:after="40" w:line="276" w:lineRule="auto"/>
            </w:pPr>
            <w:r>
              <w:rPr>
                <w:b w:val="0"/>
                <w:i w:val="0"/>
                <w:sz w:val="18"/>
              </w:rPr>
              <w:t>53</w:t>
            </w:r>
          </w:p>
        </w:tc>
        <w:tc>
          <w:tcPr>
            <w:tcW w:type="dxa" w:w="1742"/>
            <w:vAlign w:val="center"/>
            <w:tcMar>
              <w:top w:w="60" w:type="dxa"/>
              <w:left w:w="90" w:type="dxa"/>
              <w:bottom w:w="60" w:type="dxa"/>
              <w:right w:w="90" w:type="dxa"/>
            </w:tcMar>
          </w:tcPr>
          <w:p>
            <w:pPr>
              <w:spacing w:after="40" w:line="276" w:lineRule="auto"/>
            </w:pPr>
            <w:r>
              <w:rPr>
                <w:b w:val="0"/>
                <w:i w:val="0"/>
                <w:sz w:val="18"/>
              </w:rPr>
              <w:t>CO₂</w:t>
            </w:r>
          </w:p>
        </w:tc>
        <w:tc>
          <w:tcPr>
            <w:tcW w:type="dxa" w:w="2888"/>
            <w:vAlign w:val="center"/>
            <w:tcMar>
              <w:top w:w="60" w:type="dxa"/>
              <w:left w:w="90" w:type="dxa"/>
              <w:bottom w:w="60" w:type="dxa"/>
              <w:right w:w="90" w:type="dxa"/>
            </w:tcMar>
          </w:tcPr>
          <w:p>
            <w:pPr>
              <w:spacing w:after="40" w:line="276" w:lineRule="auto"/>
            </w:pPr>
            <w:r>
              <w:rPr>
                <w:b w:val="0"/>
                <w:i w:val="0"/>
                <w:sz w:val="18"/>
              </w:rPr>
              <w:t>NESO 固定备用因子</w:t>
            </w:r>
          </w:p>
        </w:tc>
      </w:tr>
      <w:tr>
        <w:trPr>
          <w:cantSplit/>
        </w:trPr>
        <w:tc>
          <w:tcPr>
            <w:tcW w:type="dxa" w:w="3156"/>
            <w:vAlign w:val="center"/>
            <w:tcMar>
              <w:top w:w="60" w:type="dxa"/>
              <w:left w:w="90" w:type="dxa"/>
              <w:bottom w:w="60" w:type="dxa"/>
              <w:right w:w="90" w:type="dxa"/>
            </w:tcMar>
          </w:tcPr>
          <w:p>
            <w:pPr>
              <w:spacing w:after="40" w:line="276" w:lineRule="auto"/>
            </w:pPr>
            <w:r>
              <w:rPr>
                <w:b w:val="0"/>
                <w:i w:val="0"/>
                <w:sz w:val="18"/>
              </w:rPr>
              <w:t>荷兰进口</w:t>
            </w:r>
          </w:p>
        </w:tc>
        <w:tc>
          <w:tcPr>
            <w:tcW w:type="dxa" w:w="2006"/>
            <w:vAlign w:val="center"/>
            <w:tcMar>
              <w:top w:w="60" w:type="dxa"/>
              <w:left w:w="90" w:type="dxa"/>
              <w:bottom w:w="60" w:type="dxa"/>
              <w:right w:w="90" w:type="dxa"/>
            </w:tcMar>
          </w:tcPr>
          <w:p>
            <w:pPr>
              <w:spacing w:after="40" w:line="276" w:lineRule="auto"/>
            </w:pPr>
            <w:r>
              <w:rPr>
                <w:b w:val="0"/>
                <w:i w:val="0"/>
                <w:sz w:val="18"/>
              </w:rPr>
              <w:t>474</w:t>
            </w:r>
          </w:p>
        </w:tc>
        <w:tc>
          <w:tcPr>
            <w:tcW w:type="dxa" w:w="1742"/>
            <w:vAlign w:val="center"/>
            <w:tcMar>
              <w:top w:w="60" w:type="dxa"/>
              <w:left w:w="90" w:type="dxa"/>
              <w:bottom w:w="60" w:type="dxa"/>
              <w:right w:w="90" w:type="dxa"/>
            </w:tcMar>
          </w:tcPr>
          <w:p>
            <w:pPr>
              <w:spacing w:after="40" w:line="276" w:lineRule="auto"/>
            </w:pPr>
            <w:r>
              <w:rPr>
                <w:b w:val="0"/>
                <w:i w:val="0"/>
                <w:sz w:val="18"/>
              </w:rPr>
              <w:t>CO₂</w:t>
            </w:r>
          </w:p>
        </w:tc>
        <w:tc>
          <w:tcPr>
            <w:tcW w:type="dxa" w:w="2888"/>
            <w:vAlign w:val="center"/>
            <w:tcMar>
              <w:top w:w="60" w:type="dxa"/>
              <w:left w:w="90" w:type="dxa"/>
              <w:bottom w:w="60" w:type="dxa"/>
              <w:right w:w="90" w:type="dxa"/>
            </w:tcMar>
          </w:tcPr>
          <w:p>
            <w:pPr>
              <w:spacing w:after="40" w:line="276" w:lineRule="auto"/>
            </w:pPr>
            <w:r>
              <w:rPr>
                <w:b w:val="0"/>
                <w:i w:val="0"/>
                <w:sz w:val="18"/>
              </w:rPr>
              <w:t>NESO 固定备用因子</w:t>
            </w:r>
          </w:p>
        </w:tc>
      </w:tr>
      <w:tr>
        <w:trPr>
          <w:cantSplit/>
        </w:trPr>
        <w:tc>
          <w:tcPr>
            <w:tcW w:type="dxa" w:w="3156"/>
            <w:vAlign w:val="center"/>
            <w:tcMar>
              <w:top w:w="60" w:type="dxa"/>
              <w:left w:w="90" w:type="dxa"/>
              <w:bottom w:w="60" w:type="dxa"/>
              <w:right w:w="90" w:type="dxa"/>
            </w:tcMar>
          </w:tcPr>
          <w:p>
            <w:pPr>
              <w:spacing w:after="40" w:line="276" w:lineRule="auto"/>
            </w:pPr>
            <w:r>
              <w:rPr>
                <w:b w:val="0"/>
                <w:i w:val="0"/>
                <w:sz w:val="18"/>
              </w:rPr>
              <w:t>比利时进口</w:t>
            </w:r>
          </w:p>
        </w:tc>
        <w:tc>
          <w:tcPr>
            <w:tcW w:type="dxa" w:w="2006"/>
            <w:vAlign w:val="center"/>
            <w:tcMar>
              <w:top w:w="60" w:type="dxa"/>
              <w:left w:w="90" w:type="dxa"/>
              <w:bottom w:w="60" w:type="dxa"/>
              <w:right w:w="90" w:type="dxa"/>
            </w:tcMar>
          </w:tcPr>
          <w:p>
            <w:pPr>
              <w:spacing w:after="40" w:line="276" w:lineRule="auto"/>
            </w:pPr>
            <w:r>
              <w:rPr>
                <w:b w:val="0"/>
                <w:i w:val="0"/>
                <w:sz w:val="18"/>
              </w:rPr>
              <w:t>179</w:t>
            </w:r>
          </w:p>
        </w:tc>
        <w:tc>
          <w:tcPr>
            <w:tcW w:type="dxa" w:w="1742"/>
            <w:vAlign w:val="center"/>
            <w:tcMar>
              <w:top w:w="60" w:type="dxa"/>
              <w:left w:w="90" w:type="dxa"/>
              <w:bottom w:w="60" w:type="dxa"/>
              <w:right w:w="90" w:type="dxa"/>
            </w:tcMar>
          </w:tcPr>
          <w:p>
            <w:pPr>
              <w:spacing w:after="40" w:line="276" w:lineRule="auto"/>
            </w:pPr>
            <w:r>
              <w:rPr>
                <w:b w:val="0"/>
                <w:i w:val="0"/>
                <w:sz w:val="18"/>
              </w:rPr>
              <w:t>CO₂</w:t>
            </w:r>
          </w:p>
        </w:tc>
        <w:tc>
          <w:tcPr>
            <w:tcW w:type="dxa" w:w="2888"/>
            <w:vAlign w:val="center"/>
            <w:tcMar>
              <w:top w:w="60" w:type="dxa"/>
              <w:left w:w="90" w:type="dxa"/>
              <w:bottom w:w="60" w:type="dxa"/>
              <w:right w:w="90" w:type="dxa"/>
            </w:tcMar>
          </w:tcPr>
          <w:p>
            <w:pPr>
              <w:spacing w:after="40" w:line="276" w:lineRule="auto"/>
            </w:pPr>
            <w:r>
              <w:rPr>
                <w:b w:val="0"/>
                <w:i w:val="0"/>
                <w:sz w:val="18"/>
              </w:rPr>
              <w:t>NESO 固定备用因子</w:t>
            </w:r>
          </w:p>
        </w:tc>
      </w:tr>
      <w:tr>
        <w:trPr>
          <w:cantSplit/>
        </w:trPr>
        <w:tc>
          <w:tcPr>
            <w:tcW w:type="dxa" w:w="3156"/>
            <w:vAlign w:val="center"/>
            <w:tcMar>
              <w:top w:w="60" w:type="dxa"/>
              <w:left w:w="90" w:type="dxa"/>
              <w:bottom w:w="60" w:type="dxa"/>
              <w:right w:w="90" w:type="dxa"/>
            </w:tcMar>
          </w:tcPr>
          <w:p>
            <w:pPr>
              <w:spacing w:after="40" w:line="276" w:lineRule="auto"/>
            </w:pPr>
            <w:r>
              <w:rPr>
                <w:b w:val="0"/>
                <w:i w:val="0"/>
                <w:sz w:val="18"/>
              </w:rPr>
              <w:t>爱尔兰进口</w:t>
            </w:r>
          </w:p>
        </w:tc>
        <w:tc>
          <w:tcPr>
            <w:tcW w:type="dxa" w:w="2006"/>
            <w:vAlign w:val="center"/>
            <w:tcMar>
              <w:top w:w="60" w:type="dxa"/>
              <w:left w:w="90" w:type="dxa"/>
              <w:bottom w:w="60" w:type="dxa"/>
              <w:right w:w="90" w:type="dxa"/>
            </w:tcMar>
          </w:tcPr>
          <w:p>
            <w:pPr>
              <w:spacing w:after="40" w:line="276" w:lineRule="auto"/>
            </w:pPr>
            <w:r>
              <w:rPr>
                <w:b w:val="0"/>
                <w:i w:val="0"/>
                <w:sz w:val="18"/>
              </w:rPr>
              <w:t>458</w:t>
            </w:r>
          </w:p>
        </w:tc>
        <w:tc>
          <w:tcPr>
            <w:tcW w:type="dxa" w:w="1742"/>
            <w:vAlign w:val="center"/>
            <w:tcMar>
              <w:top w:w="60" w:type="dxa"/>
              <w:left w:w="90" w:type="dxa"/>
              <w:bottom w:w="60" w:type="dxa"/>
              <w:right w:w="90" w:type="dxa"/>
            </w:tcMar>
          </w:tcPr>
          <w:p>
            <w:pPr>
              <w:spacing w:after="40" w:line="276" w:lineRule="auto"/>
            </w:pPr>
            <w:r>
              <w:rPr>
                <w:b w:val="0"/>
                <w:i w:val="0"/>
                <w:sz w:val="18"/>
              </w:rPr>
              <w:t>CO₂</w:t>
            </w:r>
          </w:p>
        </w:tc>
        <w:tc>
          <w:tcPr>
            <w:tcW w:type="dxa" w:w="2888"/>
            <w:vAlign w:val="center"/>
            <w:tcMar>
              <w:top w:w="60" w:type="dxa"/>
              <w:left w:w="90" w:type="dxa"/>
              <w:bottom w:w="60" w:type="dxa"/>
              <w:right w:w="90" w:type="dxa"/>
            </w:tcMar>
          </w:tcPr>
          <w:p>
            <w:pPr>
              <w:spacing w:after="40" w:line="276" w:lineRule="auto"/>
            </w:pPr>
            <w:r>
              <w:rPr>
                <w:b w:val="0"/>
                <w:i w:val="0"/>
                <w:sz w:val="18"/>
              </w:rPr>
              <w:t>NESO 固定备用因子</w:t>
            </w:r>
          </w:p>
        </w:tc>
      </w:tr>
      <w:tr>
        <w:trPr>
          <w:cantSplit/>
        </w:trPr>
        <w:tc>
          <w:tcPr>
            <w:tcW w:type="dxa" w:w="3156"/>
            <w:vAlign w:val="center"/>
            <w:tcMar>
              <w:top w:w="60" w:type="dxa"/>
              <w:left w:w="90" w:type="dxa"/>
              <w:bottom w:w="60" w:type="dxa"/>
              <w:right w:w="90" w:type="dxa"/>
            </w:tcMar>
          </w:tcPr>
          <w:p>
            <w:pPr>
              <w:spacing w:after="40" w:line="276" w:lineRule="auto"/>
            </w:pPr>
            <w:r>
              <w:rPr>
                <w:b w:val="0"/>
                <w:i w:val="0"/>
                <w:sz w:val="18"/>
              </w:rPr>
              <w:t>挪威进口</w:t>
            </w:r>
          </w:p>
        </w:tc>
        <w:tc>
          <w:tcPr>
            <w:tcW w:type="dxa" w:w="2006"/>
            <w:vAlign w:val="center"/>
            <w:tcMar>
              <w:top w:w="60" w:type="dxa"/>
              <w:left w:w="90" w:type="dxa"/>
              <w:bottom w:w="60" w:type="dxa"/>
              <w:right w:w="90" w:type="dxa"/>
            </w:tcMar>
          </w:tcPr>
          <w:p>
            <w:pPr>
              <w:spacing w:after="40" w:line="276" w:lineRule="auto"/>
            </w:pPr>
            <w:r>
              <w:rPr>
                <w:b w:val="0"/>
                <w:i w:val="0"/>
                <w:sz w:val="18"/>
              </w:rPr>
              <w:t>11.9</w:t>
            </w:r>
          </w:p>
        </w:tc>
        <w:tc>
          <w:tcPr>
            <w:tcW w:type="dxa" w:w="1742"/>
            <w:vAlign w:val="center"/>
            <w:tcMar>
              <w:top w:w="60" w:type="dxa"/>
              <w:left w:w="90" w:type="dxa"/>
              <w:bottom w:w="60" w:type="dxa"/>
              <w:right w:w="90" w:type="dxa"/>
            </w:tcMar>
          </w:tcPr>
          <w:p>
            <w:pPr>
              <w:spacing w:after="40" w:line="276" w:lineRule="auto"/>
            </w:pPr>
            <w:r>
              <w:rPr>
                <w:b w:val="0"/>
                <w:i w:val="0"/>
                <w:sz w:val="18"/>
              </w:rPr>
              <w:t>CO₂e</w:t>
            </w:r>
          </w:p>
        </w:tc>
        <w:tc>
          <w:tcPr>
            <w:tcW w:type="dxa" w:w="2888"/>
            <w:vAlign w:val="center"/>
            <w:tcMar>
              <w:top w:w="60" w:type="dxa"/>
              <w:left w:w="90" w:type="dxa"/>
              <w:bottom w:w="60" w:type="dxa"/>
              <w:right w:w="90" w:type="dxa"/>
            </w:tcMar>
          </w:tcPr>
          <w:p>
            <w:pPr>
              <w:spacing w:after="40" w:line="276" w:lineRule="auto"/>
            </w:pPr>
            <w:r>
              <w:rPr>
                <w:b w:val="0"/>
                <w:i w:val="0"/>
                <w:sz w:val="18"/>
              </w:rPr>
              <w:t>NVE 2024 年实物供电年均值</w:t>
            </w:r>
          </w:p>
        </w:tc>
      </w:tr>
    </w:tbl>
    <w:p>
      <w:pPr>
        <w:spacing w:after="20"/>
      </w:pPr>
    </w:p>
    <w:p>
      <w:r>
        <w:rPr>
          <w:b w:val="0"/>
          <w:i w:val="0"/>
        </w:rPr>
        <w:t>各因子统一为 kg/MWh，1 g/kWh 与 1 kg/MWh 数值相同。挪威原单位为 gCO₂e/kWh。</w:t>
      </w:r>
    </w:p>
    <w:p>
      <w:r>
        <w:rPr>
          <w:b w:val="0"/>
          <w:i w:val="0"/>
        </w:rPr>
        <w:t>生物质计算采用表中固定因子 120 kgCO₂e/MWh，其原来源给出 ±120 gCO₂/kWh 的不确定范围。</w:t>
      </w:r>
    </w:p>
    <w:p>
      <w:pPr>
        <w:pStyle w:val="Heading2"/>
      </w:pPr>
      <w:r>
        <w:rPr>
          <w:b w:val="0"/>
          <w:i w:val="0"/>
        </w:rPr>
        <w:t>按功率容量年化的建设排放</w:t>
      </w:r>
    </w:p>
    <w:p>
      <w:pPr>
        <w:keepNext/>
      </w:pPr>
      <w:r>
        <w:rPr>
          <w:b w:val="0"/>
          <w:i w:val="0"/>
        </w:rPr>
        <w:t xml:space="preserve">设备建造排放按各在役资产进行年度分摊。在 </w:t>
      </w:r>
      <w:r>
        <w:rPr>
          <w:rFonts w:ascii="DejaVu Sans Mono" w:hAnsi="DejaVu Sans Mono"/>
          <w:b w:val="0"/>
          <w:i w:val="0"/>
          <w:sz w:val="17"/>
        </w:rPr>
        <w:t>_asset_embodied_lines</w:t>
      </w:r>
      <w:r>
        <w:rPr>
          <w:b w:val="0"/>
          <w:i w:val="0"/>
        </w:rPr>
        <w:t xml:space="preserve"> 中，</w:t>
      </w:r>
      <w:r>
        <w:rPr>
          <w:rFonts w:ascii="DejaVu Sans Mono" w:hAnsi="DejaVu Sans Mono"/>
          <w:b w:val="0"/>
          <w:i w:val="0"/>
          <w:sz w:val="17"/>
        </w:rPr>
        <w:t>capacity_mw</w:t>
      </w:r>
      <w:r>
        <w:rPr>
          <w:b w:val="0"/>
          <w:i w:val="0"/>
        </w:rPr>
        <w:t xml:space="preserve"> 为在役功率，单位为 MW；</w:t>
      </w:r>
      <w:r>
        <w:rPr>
          <w:rFonts w:ascii="DejaVu Sans Mono" w:hAnsi="DejaVu Sans Mono"/>
          <w:b w:val="0"/>
          <w:i w:val="0"/>
          <w:sz w:val="17"/>
        </w:rPr>
        <w:t>factor.value</w:t>
      </w:r>
      <w:r>
        <w:rPr>
          <w:b w:val="0"/>
          <w:i w:val="0"/>
        </w:rPr>
        <w:t xml:space="preserve"> 为所选年度因子，单位为 tCO₂e/(MW·年)。单项结果 </w:t>
      </w:r>
      <w:r>
        <w:rPr>
          <w:rFonts w:ascii="DejaVu Sans Mono" w:hAnsi="DejaVu Sans Mono"/>
          <w:b w:val="0"/>
          <w:i w:val="0"/>
          <w:sz w:val="17"/>
        </w:rPr>
        <w:t>emissions</w:t>
      </w:r>
      <w:r>
        <w:rPr>
          <w:b w:val="0"/>
          <w:i w:val="0"/>
        </w:rPr>
        <w:t xml:space="preserve"> 写入 </w:t>
      </w:r>
      <w:r>
        <w:rPr>
          <w:rFonts w:ascii="DejaVu Sans Mono" w:hAnsi="DejaVu Sans Mono"/>
          <w:b w:val="0"/>
          <w:i w:val="0"/>
          <w:sz w:val="17"/>
        </w:rPr>
        <w:t>line.emissions_tco2e</w:t>
      </w:r>
      <w:r>
        <w:rPr>
          <w:b w:val="0"/>
          <w:i w:val="0"/>
        </w:rPr>
        <w:t>，</w:t>
      </w:r>
      <w:r>
        <w:rPr>
          <w:rFonts w:ascii="DejaVu Sans Mono" w:hAnsi="DejaVu Sans Mono"/>
          <w:b w:val="0"/>
          <w:i w:val="0"/>
          <w:sz w:val="17"/>
        </w:rPr>
        <w:t>embodied</w:t>
      </w:r>
      <w:r>
        <w:rPr>
          <w:b w:val="0"/>
          <w:i w:val="0"/>
        </w:rPr>
        <w:t xml:space="preserve"> 汇总这些建造排放记录：</w:t>
      </w:r>
    </w:p>
    <w:p>
      <w:pPr>
        <w:spacing w:after="160"/>
        <w:jc w:val="center"/>
      </w:pPr>
      <w:r>
        <w:drawing>
          <wp:inline xmlns:a="http://schemas.openxmlformats.org/drawingml/2006/main" xmlns:pic="http://schemas.openxmlformats.org/drawingml/2006/picture">
            <wp:extent cx="3413607" cy="466427"/>
            <wp:docPr id="180" name="Picture 180"/>
            <wp:cNvGraphicFramePr>
              <a:graphicFrameLocks noChangeAspect="1"/>
            </wp:cNvGraphicFramePr>
            <a:graphic>
              <a:graphicData uri="http://schemas.openxmlformats.org/drawingml/2006/picture">
                <pic:pic>
                  <pic:nvPicPr>
                    <pic:cNvPr id="0" name="eq-180.png"/>
                    <pic:cNvPicPr/>
                  </pic:nvPicPr>
                  <pic:blipFill>
                    <a:blip r:embed="rId162"/>
                    <a:stretch>
                      <a:fillRect/>
                    </a:stretch>
                  </pic:blipFill>
                  <pic:spPr>
                    <a:xfrm>
                      <a:off x="0" y="0"/>
                      <a:ext cx="3413607" cy="466427"/>
                    </a:xfrm>
                    <a:prstGeom prst="rect"/>
                  </pic:spPr>
                </pic:pic>
              </a:graphicData>
            </a:graphic>
          </wp:inline>
        </w:drawing>
      </w:r>
    </w:p>
    <w:p>
      <w:r>
        <w:rPr>
          <w:b w:val="0"/>
          <w:i w:val="0"/>
        </w:rPr>
        <w:t xml:space="preserve">年度建设因子取自 </w:t>
      </w:r>
      <w:r>
        <w:rPr>
          <w:rFonts w:ascii="DejaVu Sans Mono" w:hAnsi="DejaVu Sans Mono"/>
          <w:b w:val="0"/>
          <w:i w:val="0"/>
          <w:sz w:val="17"/>
        </w:rPr>
        <w:t>embodied_​factors_​desnz_​unece.csv</w:t>
      </w:r>
      <w:r>
        <w:rPr>
          <w:b w:val="0"/>
          <w:i w:val="0"/>
        </w:rPr>
        <w:t>。开式循环燃气使用联合循环燃气的建设因子，电解槽使用该表列出的代理值。</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931"/>
        <w:gridCol w:w="5861"/>
      </w:tblGrid>
      <w:tr>
        <w:trPr>
          <w:cantSplit/>
          <w:tblHeader w:val="true"/>
        </w:trPr>
        <w:tc>
          <w:tcPr>
            <w:tcW w:type="dxa" w:w="3931"/>
            <w:vAlign w:val="center"/>
            <w:tcMar>
              <w:top w:w="60" w:type="dxa"/>
              <w:left w:w="90" w:type="dxa"/>
              <w:bottom w:w="60" w:type="dxa"/>
              <w:right w:w="90" w:type="dxa"/>
            </w:tcMar>
            <w:shd w:fill="EEEEEE"/>
          </w:tcPr>
          <w:p>
            <w:pPr>
              <w:spacing w:after="40" w:line="276" w:lineRule="auto"/>
            </w:pPr>
            <w:r>
              <w:rPr>
                <w:b/>
                <w:i w:val="0"/>
                <w:sz w:val="18"/>
              </w:rPr>
              <w:t>技术</w:t>
            </w:r>
          </w:p>
        </w:tc>
        <w:tc>
          <w:tcPr>
            <w:tcW w:type="dxa" w:w="5861"/>
            <w:vAlign w:val="center"/>
            <w:tcMar>
              <w:top w:w="60" w:type="dxa"/>
              <w:left w:w="90" w:type="dxa"/>
              <w:bottom w:w="60" w:type="dxa"/>
              <w:right w:w="90" w:type="dxa"/>
            </w:tcMar>
            <w:shd w:fill="EEEEEE"/>
          </w:tcPr>
          <w:p>
            <w:pPr>
              <w:spacing w:after="40" w:line="276" w:lineRule="auto"/>
            </w:pPr>
            <w:r>
              <w:rPr>
                <w:b/>
                <w:i w:val="0"/>
                <w:sz w:val="18"/>
              </w:rPr>
              <w:t>年度因子 tCO₂e/(MW·年)</w:t>
            </w:r>
          </w:p>
        </w:tc>
      </w:tr>
      <w:tr>
        <w:trPr>
          <w:cantSplit/>
        </w:trPr>
        <w:tc>
          <w:tcPr>
            <w:tcW w:type="dxa" w:w="3931"/>
            <w:vAlign w:val="center"/>
            <w:tcMar>
              <w:top w:w="60" w:type="dxa"/>
              <w:left w:w="90" w:type="dxa"/>
              <w:bottom w:w="60" w:type="dxa"/>
              <w:right w:w="90" w:type="dxa"/>
            </w:tcMar>
          </w:tcPr>
          <w:p>
            <w:pPr>
              <w:spacing w:after="40" w:line="276" w:lineRule="auto"/>
            </w:pPr>
            <w:r>
              <w:rPr>
                <w:b w:val="0"/>
                <w:i w:val="0"/>
                <w:sz w:val="18"/>
              </w:rPr>
              <w:t>光伏</w:t>
            </w:r>
          </w:p>
        </w:tc>
        <w:tc>
          <w:tcPr>
            <w:tcW w:type="dxa" w:w="5861"/>
            <w:vAlign w:val="center"/>
            <w:tcMar>
              <w:top w:w="60" w:type="dxa"/>
              <w:left w:w="90" w:type="dxa"/>
              <w:bottom w:w="60" w:type="dxa"/>
              <w:right w:w="90" w:type="dxa"/>
            </w:tcMar>
          </w:tcPr>
          <w:p>
            <w:pPr>
              <w:spacing w:after="40" w:line="276" w:lineRule="auto"/>
            </w:pPr>
            <w:r>
              <w:rPr>
                <w:b w:val="0"/>
                <w:i w:val="0"/>
                <w:sz w:val="18"/>
              </w:rPr>
              <w:t>38.544</w:t>
            </w:r>
          </w:p>
        </w:tc>
      </w:tr>
      <w:tr>
        <w:trPr>
          <w:cantSplit/>
        </w:trPr>
        <w:tc>
          <w:tcPr>
            <w:tcW w:type="dxa" w:w="3931"/>
            <w:vAlign w:val="center"/>
            <w:tcMar>
              <w:top w:w="60" w:type="dxa"/>
              <w:left w:w="90" w:type="dxa"/>
              <w:bottom w:w="60" w:type="dxa"/>
              <w:right w:w="90" w:type="dxa"/>
            </w:tcMar>
          </w:tcPr>
          <w:p>
            <w:pPr>
              <w:spacing w:after="40" w:line="276" w:lineRule="auto"/>
            </w:pPr>
            <w:r>
              <w:rPr>
                <w:b w:val="0"/>
                <w:i w:val="0"/>
                <w:sz w:val="18"/>
              </w:rPr>
              <w:t>陆上风电</w:t>
            </w:r>
          </w:p>
        </w:tc>
        <w:tc>
          <w:tcPr>
            <w:tcW w:type="dxa" w:w="5861"/>
            <w:vAlign w:val="center"/>
            <w:tcMar>
              <w:top w:w="60" w:type="dxa"/>
              <w:left w:w="90" w:type="dxa"/>
              <w:bottom w:w="60" w:type="dxa"/>
              <w:right w:w="90" w:type="dxa"/>
            </w:tcMar>
          </w:tcPr>
          <w:p>
            <w:pPr>
              <w:spacing w:after="40" w:line="276" w:lineRule="auto"/>
            </w:pPr>
            <w:r>
              <w:rPr>
                <w:b w:val="0"/>
                <w:i w:val="0"/>
                <w:sz w:val="18"/>
              </w:rPr>
              <w:t>47.304</w:t>
            </w:r>
          </w:p>
        </w:tc>
      </w:tr>
      <w:tr>
        <w:trPr>
          <w:cantSplit/>
        </w:trPr>
        <w:tc>
          <w:tcPr>
            <w:tcW w:type="dxa" w:w="3931"/>
            <w:vAlign w:val="center"/>
            <w:tcMar>
              <w:top w:w="60" w:type="dxa"/>
              <w:left w:w="90" w:type="dxa"/>
              <w:bottom w:w="60" w:type="dxa"/>
              <w:right w:w="90" w:type="dxa"/>
            </w:tcMar>
          </w:tcPr>
          <w:p>
            <w:pPr>
              <w:spacing w:after="40" w:line="276" w:lineRule="auto"/>
            </w:pPr>
            <w:r>
              <w:rPr>
                <w:b w:val="0"/>
                <w:i w:val="0"/>
                <w:sz w:val="18"/>
              </w:rPr>
              <w:t>海上风电</w:t>
            </w:r>
          </w:p>
        </w:tc>
        <w:tc>
          <w:tcPr>
            <w:tcW w:type="dxa" w:w="5861"/>
            <w:vAlign w:val="center"/>
            <w:tcMar>
              <w:top w:w="60" w:type="dxa"/>
              <w:left w:w="90" w:type="dxa"/>
              <w:bottom w:w="60" w:type="dxa"/>
              <w:right w:w="90" w:type="dxa"/>
            </w:tcMar>
          </w:tcPr>
          <w:p>
            <w:pPr>
              <w:spacing w:after="40" w:line="276" w:lineRule="auto"/>
            </w:pPr>
            <w:r>
              <w:rPr>
                <w:b w:val="0"/>
                <w:i w:val="0"/>
                <w:sz w:val="18"/>
              </w:rPr>
              <w:t>96.1848</w:t>
            </w:r>
          </w:p>
        </w:tc>
      </w:tr>
      <w:tr>
        <w:trPr>
          <w:cantSplit/>
        </w:trPr>
        <w:tc>
          <w:tcPr>
            <w:tcW w:type="dxa" w:w="3931"/>
            <w:vAlign w:val="center"/>
            <w:tcMar>
              <w:top w:w="60" w:type="dxa"/>
              <w:left w:w="90" w:type="dxa"/>
              <w:bottom w:w="60" w:type="dxa"/>
              <w:right w:w="90" w:type="dxa"/>
            </w:tcMar>
          </w:tcPr>
          <w:p>
            <w:pPr>
              <w:spacing w:after="40" w:line="276" w:lineRule="auto"/>
            </w:pPr>
            <w:r>
              <w:rPr>
                <w:b w:val="0"/>
                <w:i w:val="0"/>
                <w:sz w:val="18"/>
              </w:rPr>
              <w:t>核电</w:t>
            </w:r>
          </w:p>
        </w:tc>
        <w:tc>
          <w:tcPr>
            <w:tcW w:type="dxa" w:w="5861"/>
            <w:vAlign w:val="center"/>
            <w:tcMar>
              <w:top w:w="60" w:type="dxa"/>
              <w:left w:w="90" w:type="dxa"/>
              <w:bottom w:w="60" w:type="dxa"/>
              <w:right w:w="90" w:type="dxa"/>
            </w:tcMar>
          </w:tcPr>
          <w:p>
            <w:pPr>
              <w:spacing w:after="40" w:line="276" w:lineRule="auto"/>
            </w:pPr>
            <w:r>
              <w:rPr>
                <w:b w:val="0"/>
                <w:i w:val="0"/>
                <w:sz w:val="18"/>
              </w:rPr>
              <w:t>43.362</w:t>
            </w:r>
          </w:p>
        </w:tc>
      </w:tr>
      <w:tr>
        <w:trPr>
          <w:cantSplit/>
        </w:trPr>
        <w:tc>
          <w:tcPr>
            <w:tcW w:type="dxa" w:w="3931"/>
            <w:vAlign w:val="center"/>
            <w:tcMar>
              <w:top w:w="60" w:type="dxa"/>
              <w:left w:w="90" w:type="dxa"/>
              <w:bottom w:w="60" w:type="dxa"/>
              <w:right w:w="90" w:type="dxa"/>
            </w:tcMar>
          </w:tcPr>
          <w:p>
            <w:pPr>
              <w:spacing w:after="40" w:line="276" w:lineRule="auto"/>
            </w:pPr>
            <w:r>
              <w:rPr>
                <w:b w:val="0"/>
                <w:i w:val="0"/>
                <w:sz w:val="18"/>
              </w:rPr>
              <w:t>天然水电</w:t>
            </w:r>
          </w:p>
        </w:tc>
        <w:tc>
          <w:tcPr>
            <w:tcW w:type="dxa" w:w="5861"/>
            <w:vAlign w:val="center"/>
            <w:tcMar>
              <w:top w:w="60" w:type="dxa"/>
              <w:left w:w="90" w:type="dxa"/>
              <w:bottom w:w="60" w:type="dxa"/>
              <w:right w:w="90" w:type="dxa"/>
            </w:tcMar>
          </w:tcPr>
          <w:p>
            <w:pPr>
              <w:spacing w:after="40" w:line="276" w:lineRule="auto"/>
            </w:pPr>
            <w:r>
              <w:rPr>
                <w:b w:val="0"/>
                <w:i w:val="0"/>
                <w:sz w:val="18"/>
              </w:rPr>
              <w:t>61.32</w:t>
            </w:r>
          </w:p>
        </w:tc>
      </w:tr>
      <w:tr>
        <w:trPr>
          <w:cantSplit/>
        </w:trPr>
        <w:tc>
          <w:tcPr>
            <w:tcW w:type="dxa" w:w="3931"/>
            <w:vAlign w:val="center"/>
            <w:tcMar>
              <w:top w:w="60" w:type="dxa"/>
              <w:left w:w="90" w:type="dxa"/>
              <w:bottom w:w="60" w:type="dxa"/>
              <w:right w:w="90" w:type="dxa"/>
            </w:tcMar>
          </w:tcPr>
          <w:p>
            <w:pPr>
              <w:spacing w:after="40" w:line="276" w:lineRule="auto"/>
            </w:pPr>
            <w:r>
              <w:rPr>
                <w:b w:val="0"/>
                <w:i w:val="0"/>
                <w:sz w:val="18"/>
              </w:rPr>
              <w:t>抽水蓄能</w:t>
            </w:r>
          </w:p>
        </w:tc>
        <w:tc>
          <w:tcPr>
            <w:tcW w:type="dxa" w:w="5861"/>
            <w:vAlign w:val="center"/>
            <w:tcMar>
              <w:top w:w="60" w:type="dxa"/>
              <w:left w:w="90" w:type="dxa"/>
              <w:bottom w:w="60" w:type="dxa"/>
              <w:right w:w="90" w:type="dxa"/>
            </w:tcMar>
          </w:tcPr>
          <w:p>
            <w:pPr>
              <w:spacing w:after="40" w:line="276" w:lineRule="auto"/>
            </w:pPr>
            <w:r>
              <w:rPr>
                <w:b w:val="0"/>
                <w:i w:val="0"/>
                <w:sz w:val="18"/>
              </w:rPr>
              <w:t>98.55</w:t>
            </w:r>
          </w:p>
        </w:tc>
      </w:tr>
      <w:tr>
        <w:trPr>
          <w:cantSplit/>
        </w:trPr>
        <w:tc>
          <w:tcPr>
            <w:tcW w:type="dxa" w:w="3931"/>
            <w:vAlign w:val="center"/>
            <w:tcMar>
              <w:top w:w="60" w:type="dxa"/>
              <w:left w:w="90" w:type="dxa"/>
              <w:bottom w:w="60" w:type="dxa"/>
              <w:right w:w="90" w:type="dxa"/>
            </w:tcMar>
          </w:tcPr>
          <w:p>
            <w:pPr>
              <w:spacing w:after="40" w:line="276" w:lineRule="auto"/>
            </w:pPr>
            <w:r>
              <w:rPr>
                <w:b w:val="0"/>
                <w:i w:val="0"/>
                <w:sz w:val="18"/>
              </w:rPr>
              <w:t>联合循环燃气</w:t>
            </w:r>
          </w:p>
        </w:tc>
        <w:tc>
          <w:tcPr>
            <w:tcW w:type="dxa" w:w="5861"/>
            <w:vAlign w:val="center"/>
            <w:tcMar>
              <w:top w:w="60" w:type="dxa"/>
              <w:left w:w="90" w:type="dxa"/>
              <w:bottom w:w="60" w:type="dxa"/>
              <w:right w:w="90" w:type="dxa"/>
            </w:tcMar>
          </w:tcPr>
          <w:p>
            <w:pPr>
              <w:spacing w:after="40" w:line="276" w:lineRule="auto"/>
            </w:pPr>
            <w:r>
              <w:rPr>
                <w:b w:val="0"/>
                <w:i w:val="0"/>
                <w:sz w:val="18"/>
              </w:rPr>
              <w:t>16.2936</w:t>
            </w:r>
          </w:p>
        </w:tc>
      </w:tr>
      <w:tr>
        <w:trPr>
          <w:cantSplit/>
        </w:trPr>
        <w:tc>
          <w:tcPr>
            <w:tcW w:type="dxa" w:w="3931"/>
            <w:vAlign w:val="center"/>
            <w:tcMar>
              <w:top w:w="60" w:type="dxa"/>
              <w:left w:w="90" w:type="dxa"/>
              <w:bottom w:w="60" w:type="dxa"/>
              <w:right w:w="90" w:type="dxa"/>
            </w:tcMar>
          </w:tcPr>
          <w:p>
            <w:pPr>
              <w:spacing w:after="40" w:line="276" w:lineRule="auto"/>
            </w:pPr>
            <w:r>
              <w:rPr>
                <w:b w:val="0"/>
                <w:i w:val="0"/>
                <w:sz w:val="18"/>
              </w:rPr>
              <w:t>开式循环燃气</w:t>
            </w:r>
          </w:p>
        </w:tc>
        <w:tc>
          <w:tcPr>
            <w:tcW w:type="dxa" w:w="5861"/>
            <w:vAlign w:val="center"/>
            <w:tcMar>
              <w:top w:w="60" w:type="dxa"/>
              <w:left w:w="90" w:type="dxa"/>
              <w:bottom w:w="60" w:type="dxa"/>
              <w:right w:w="90" w:type="dxa"/>
            </w:tcMar>
          </w:tcPr>
          <w:p>
            <w:pPr>
              <w:spacing w:after="40" w:line="276" w:lineRule="auto"/>
            </w:pPr>
            <w:r>
              <w:rPr>
                <w:b w:val="0"/>
                <w:i w:val="0"/>
                <w:sz w:val="18"/>
              </w:rPr>
              <w:t>16.2936</w:t>
            </w:r>
          </w:p>
        </w:tc>
      </w:tr>
      <w:tr>
        <w:trPr>
          <w:cantSplit/>
        </w:trPr>
        <w:tc>
          <w:tcPr>
            <w:tcW w:type="dxa" w:w="3931"/>
            <w:vAlign w:val="center"/>
            <w:tcMar>
              <w:top w:w="60" w:type="dxa"/>
              <w:left w:w="90" w:type="dxa"/>
              <w:bottom w:w="60" w:type="dxa"/>
              <w:right w:w="90" w:type="dxa"/>
            </w:tcMar>
          </w:tcPr>
          <w:p>
            <w:pPr>
              <w:spacing w:after="40" w:line="276" w:lineRule="auto"/>
            </w:pPr>
            <w:r>
              <w:rPr>
                <w:b w:val="0"/>
                <w:i w:val="0"/>
                <w:sz w:val="18"/>
              </w:rPr>
              <w:t>生物质</w:t>
            </w:r>
          </w:p>
        </w:tc>
        <w:tc>
          <w:tcPr>
            <w:tcW w:type="dxa" w:w="5861"/>
            <w:vAlign w:val="center"/>
            <w:tcMar>
              <w:top w:w="60" w:type="dxa"/>
              <w:left w:w="90" w:type="dxa"/>
              <w:bottom w:w="60" w:type="dxa"/>
              <w:right w:w="90" w:type="dxa"/>
            </w:tcMar>
          </w:tcPr>
          <w:p>
            <w:pPr>
              <w:spacing w:after="40" w:line="276" w:lineRule="auto"/>
            </w:pPr>
            <w:r>
              <w:rPr>
                <w:b w:val="0"/>
                <w:i w:val="0"/>
                <w:sz w:val="18"/>
              </w:rPr>
              <w:t>22.0752</w:t>
            </w:r>
          </w:p>
        </w:tc>
      </w:tr>
      <w:tr>
        <w:trPr>
          <w:cantSplit/>
        </w:trPr>
        <w:tc>
          <w:tcPr>
            <w:tcW w:type="dxa" w:w="3931"/>
            <w:vAlign w:val="center"/>
            <w:tcMar>
              <w:top w:w="60" w:type="dxa"/>
              <w:left w:w="90" w:type="dxa"/>
              <w:bottom w:w="60" w:type="dxa"/>
              <w:right w:w="90" w:type="dxa"/>
            </w:tcMar>
          </w:tcPr>
          <w:p>
            <w:pPr>
              <w:spacing w:after="40" w:line="276" w:lineRule="auto"/>
            </w:pPr>
            <w:r>
              <w:rPr>
                <w:b w:val="0"/>
                <w:i w:val="0"/>
                <w:sz w:val="18"/>
              </w:rPr>
              <w:t>电解槽</w:t>
            </w:r>
          </w:p>
        </w:tc>
        <w:tc>
          <w:tcPr>
            <w:tcW w:type="dxa" w:w="5861"/>
            <w:vAlign w:val="center"/>
            <w:tcMar>
              <w:top w:w="60" w:type="dxa"/>
              <w:left w:w="90" w:type="dxa"/>
              <w:bottom w:w="60" w:type="dxa"/>
              <w:right w:w="90" w:type="dxa"/>
            </w:tcMar>
          </w:tcPr>
          <w:p>
            <w:pPr>
              <w:spacing w:after="40" w:line="276" w:lineRule="auto"/>
            </w:pPr>
            <w:r>
              <w:rPr>
                <w:b w:val="0"/>
                <w:i w:val="0"/>
                <w:sz w:val="18"/>
              </w:rPr>
              <w:t>1.25</w:t>
            </w:r>
          </w:p>
        </w:tc>
      </w:tr>
    </w:tbl>
    <w:p>
      <w:pPr>
        <w:spacing w:after="20"/>
      </w:pPr>
    </w:p>
    <w:p>
      <w:pPr>
        <w:pStyle w:val="Heading2"/>
      </w:pPr>
      <w:r>
        <w:rPr>
          <w:b w:val="0"/>
          <w:i w:val="0"/>
        </w:rPr>
        <w:t>按能量容量计量的储能排放</w:t>
      </w:r>
    </w:p>
    <w:p>
      <w:pPr>
        <w:keepNext/>
      </w:pPr>
      <w:r>
        <w:rPr>
          <w:b w:val="0"/>
          <w:i w:val="0"/>
        </w:rPr>
        <w:t>电池制造排放按额定能量容量与设备寿命进行年度分摊。所选制造因子为 89 kgCO₂e/kWh 容量，来自 Longfield Solar Farm 2022 年环境声明所用的中间值。</w:t>
      </w:r>
      <w:r>
        <w:rPr>
          <w:rFonts w:ascii="DejaVu Sans Mono" w:hAnsi="DejaVu Sans Mono"/>
          <w:b w:val="0"/>
          <w:i w:val="0"/>
          <w:sz w:val="17"/>
        </w:rPr>
        <w:t>_asset_embodied_lines</w:t>
      </w:r>
      <w:r>
        <w:rPr>
          <w:b w:val="0"/>
          <w:i w:val="0"/>
        </w:rPr>
        <w:t xml:space="preserve"> 读取以 MWh 表示的 </w:t>
      </w:r>
      <w:r>
        <w:rPr>
          <w:rFonts w:ascii="DejaVu Sans Mono" w:hAnsi="DejaVu Sans Mono"/>
          <w:b w:val="0"/>
          <w:i w:val="0"/>
          <w:sz w:val="17"/>
        </w:rPr>
        <w:t>asset.energy_​capacity_​mwh</w:t>
      </w:r>
      <w:r>
        <w:rPr>
          <w:b w:val="0"/>
          <w:i w:val="0"/>
        </w:rPr>
        <w:t xml:space="preserve">，并从 </w:t>
      </w:r>
      <w:r>
        <w:rPr>
          <w:rFonts w:ascii="DejaVu Sans Mono" w:hAnsi="DejaVu Sans Mono"/>
          <w:b w:val="0"/>
          <w:i w:val="0"/>
          <w:sz w:val="17"/>
        </w:rPr>
        <w:t>economic_lifetime_years</w:t>
      </w:r>
      <w:r>
        <w:rPr>
          <w:b w:val="0"/>
          <w:i w:val="0"/>
        </w:rPr>
        <w:t xml:space="preserve"> 读取以年表示的 </w:t>
      </w:r>
      <w:r>
        <w:rPr>
          <w:rFonts w:ascii="DejaVu Sans Mono" w:hAnsi="DejaVu Sans Mono"/>
          <w:b w:val="0"/>
          <w:i w:val="0"/>
          <w:sz w:val="17"/>
        </w:rPr>
        <w:t>economic_life</w:t>
      </w:r>
      <w:r>
        <w:rPr>
          <w:b w:val="0"/>
          <w:i w:val="0"/>
        </w:rPr>
        <w:t>。年度制造排放为</w:t>
      </w:r>
    </w:p>
    <w:p>
      <w:pPr>
        <w:spacing w:after="160"/>
        <w:jc w:val="center"/>
      </w:pPr>
      <w:r>
        <w:drawing>
          <wp:inline xmlns:a="http://schemas.openxmlformats.org/drawingml/2006/main" xmlns:pic="http://schemas.openxmlformats.org/drawingml/2006/picture">
            <wp:extent cx="4900269" cy="367977"/>
            <wp:docPr id="181" name="Picture 181"/>
            <wp:cNvGraphicFramePr>
              <a:graphicFrameLocks noChangeAspect="1"/>
            </wp:cNvGraphicFramePr>
            <a:graphic>
              <a:graphicData uri="http://schemas.openxmlformats.org/drawingml/2006/picture">
                <pic:pic>
                  <pic:nvPicPr>
                    <pic:cNvPr id="0" name="eq-181.png"/>
                    <pic:cNvPicPr/>
                  </pic:nvPicPr>
                  <pic:blipFill>
                    <a:blip r:embed="rId163"/>
                    <a:stretch>
                      <a:fillRect/>
                    </a:stretch>
                  </pic:blipFill>
                  <pic:spPr>
                    <a:xfrm>
                      <a:off x="0" y="0"/>
                      <a:ext cx="4900269" cy="367977"/>
                    </a:xfrm>
                    <a:prstGeom prst="rect"/>
                  </pic:spPr>
                </pic:pic>
              </a:graphicData>
            </a:graphic>
          </wp:inline>
        </w:drawing>
      </w:r>
    </w:p>
    <w:p>
      <w:r>
        <w:rPr>
          <w:b w:val="0"/>
          <w:i w:val="0"/>
        </w:rPr>
        <w:t xml:space="preserve">氢储能将功率设备与能量储存部分分别计量。能量储存部分采用 0.0006 tCO₂e/MWh 容量的全寿命因子，按资产声明的经济寿命年化；该值对应 </w:t>
      </w:r>
      <w:r>
        <w:rPr>
          <w:rFonts w:ascii="DejaVu Sans Mono" w:hAnsi="DejaVu Sans Mono"/>
          <w:b w:val="0"/>
          <w:i w:val="0"/>
          <w:sz w:val="17"/>
        </w:rPr>
        <w:t>factor_catalog.csv</w:t>
      </w:r>
      <w:r>
        <w:rPr>
          <w:b w:val="0"/>
          <w:i w:val="0"/>
        </w:rPr>
        <w:t xml:space="preserve"> 的 </w:t>
      </w:r>
      <w:r>
        <w:rPr>
          <w:rFonts w:ascii="DejaVu Sans Mono" w:hAnsi="DejaVu Sans Mono"/>
          <w:b w:val="0"/>
          <w:i w:val="0"/>
          <w:sz w:val="17"/>
        </w:rPr>
        <w:t>ch4_h2_store_lifetime</w:t>
      </w:r>
      <w:r>
        <w:rPr>
          <w:b w:val="0"/>
          <w:i w:val="0"/>
        </w:rPr>
        <w:t xml:space="preserve"> 参数项。电解槽的功率部分采用上一节的年度因子。</w:t>
      </w:r>
    </w:p>
    <w:p>
      <w:pPr>
        <w:pStyle w:val="Heading2"/>
      </w:pPr>
      <w:r>
        <w:rPr>
          <w:b w:val="0"/>
          <w:i w:val="0"/>
        </w:rPr>
        <w:t>储能电量的碳记录</w:t>
      </w:r>
    </w:p>
    <w:p>
      <w:r>
        <w:rPr>
          <w:b w:val="0"/>
          <w:i w:val="0"/>
        </w:rPr>
        <w:t xml:space="preserve">电池放电作为已存电力的转移记入 </w:t>
      </w:r>
      <w:r>
        <w:rPr>
          <w:rFonts w:ascii="DejaVu Sans Mono" w:hAnsi="DejaVu Sans Mono"/>
          <w:b w:val="0"/>
          <w:i w:val="0"/>
          <w:sz w:val="17"/>
        </w:rPr>
        <w:t>storage_​carried_​transfer</w:t>
      </w:r>
      <w:r>
        <w:rPr>
          <w:b w:val="0"/>
          <w:i w:val="0"/>
        </w:rPr>
        <w:t xml:space="preserve">，该项新增运行排放取零。抽水蓄能按表中的零运行因子计量。充电电源的排放已计入发电或进口电量。提供 </w:t>
      </w:r>
      <w:r>
        <w:rPr>
          <w:rFonts w:ascii="DejaVu Sans Mono" w:hAnsi="DejaVu Sans Mono"/>
          <w:b w:val="0"/>
          <w:i w:val="0"/>
          <w:sz w:val="17"/>
        </w:rPr>
        <w:t>storage_trace</w:t>
      </w:r>
      <w:r>
        <w:rPr>
          <w:b w:val="0"/>
          <w:i w:val="0"/>
        </w:rPr>
        <w:t xml:space="preserve"> 时，模型另行按混合库存法追踪储能中留存的排放；输入包含每期 </w:t>
      </w:r>
      <w:r>
        <w:rPr>
          <w:rFonts w:ascii="DejaVu Sans Mono" w:hAnsi="DejaVu Sans Mono"/>
          <w:b w:val="0"/>
          <w:i w:val="0"/>
          <w:sz w:val="17"/>
        </w:rPr>
        <w:t>charge_mwh</w:t>
      </w:r>
      <w:r>
        <w:rPr>
          <w:b w:val="0"/>
          <w:i w:val="0"/>
        </w:rPr>
        <w:t>、</w:t>
      </w:r>
      <w:r>
        <w:rPr>
          <w:rFonts w:ascii="DejaVu Sans Mono" w:hAnsi="DejaVu Sans Mono"/>
          <w:b w:val="0"/>
          <w:i w:val="0"/>
          <w:sz w:val="17"/>
        </w:rPr>
        <w:t>discharge_mwh</w:t>
      </w:r>
      <w:r>
        <w:rPr>
          <w:b w:val="0"/>
          <w:i w:val="0"/>
        </w:rPr>
        <w:t>、</w:t>
      </w:r>
      <w:r>
        <w:rPr>
          <w:rFonts w:ascii="DejaVu Sans Mono" w:hAnsi="DejaVu Sans Mono"/>
          <w:b w:val="0"/>
          <w:i w:val="0"/>
          <w:sz w:val="17"/>
        </w:rPr>
        <w:t>charge_​source_​kgco2e_​per_​mwh</w:t>
      </w:r>
      <w:r>
        <w:rPr>
          <w:b w:val="0"/>
          <w:i w:val="0"/>
        </w:rPr>
        <w:t xml:space="preserve"> 及充放电效率。</w:t>
      </w:r>
    </w:p>
    <w:p>
      <w:r>
        <w:rPr>
          <w:b w:val="0"/>
          <w:i w:val="0"/>
        </w:rPr>
        <w:t xml:space="preserve">库存碳从零开始，充电按电源强度增加库存碳，放电按取出的库存能量比例移出库存碳。以下计算中的 </w:t>
      </w:r>
      <w:r>
        <w:rPr>
          <w:rFonts w:ascii="DejaVu Sans Mono" w:hAnsi="DejaVu Sans Mono"/>
          <w:b w:val="0"/>
          <w:i w:val="0"/>
          <w:sz w:val="17"/>
        </w:rPr>
        <w:t>inventory_energy</w:t>
      </w:r>
      <w:r>
        <w:rPr>
          <w:b w:val="0"/>
          <w:i w:val="0"/>
        </w:rPr>
        <w:t xml:space="preserve"> 以 MWh 表示，</w:t>
      </w:r>
      <w:r>
        <w:rPr>
          <w:rFonts w:ascii="DejaVu Sans Mono" w:hAnsi="DejaVu Sans Mono"/>
          <w:b w:val="0"/>
          <w:i w:val="0"/>
          <w:sz w:val="17"/>
        </w:rPr>
        <w:t>inventory_kg</w:t>
      </w:r>
      <w:r>
        <w:rPr>
          <w:b w:val="0"/>
          <w:i w:val="0"/>
        </w:rPr>
        <w:t xml:space="preserve"> 以 kg 表示；期末 </w:t>
      </w:r>
      <w:r>
        <w:rPr>
          <w:rFonts w:ascii="DejaVu Sans Mono" w:hAnsi="DejaVu Sans Mono"/>
          <w:b w:val="0"/>
          <w:i w:val="0"/>
          <w:sz w:val="17"/>
        </w:rPr>
        <w:t>ending_inventory</w:t>
      </w:r>
      <w:r>
        <w:rPr>
          <w:b w:val="0"/>
          <w:i w:val="0"/>
        </w:rPr>
        <w:t xml:space="preserve"> 换算为吨。每期检查取出量 </w:t>
      </w:r>
      <w:r>
        <w:rPr>
          <w:rFonts w:ascii="DejaVu Sans Mono" w:hAnsi="DejaVu Sans Mono"/>
          <w:b w:val="0"/>
          <w:i w:val="0"/>
          <w:sz w:val="17"/>
        </w:rPr>
        <w:t>withdrawn</w:t>
      </w:r>
      <w:r>
        <w:rPr>
          <w:b w:val="0"/>
          <w:i w:val="0"/>
        </w:rPr>
        <w:t xml:space="preserve"> 与现有库存，超出量大于 </w:t>
      </w:r>
      <w:r>
        <w:drawing>
          <wp:inline xmlns:a="http://schemas.openxmlformats.org/drawingml/2006/main" xmlns:pic="http://schemas.openxmlformats.org/drawingml/2006/picture">
            <wp:extent cx="313975" cy="140242"/>
            <wp:docPr id="182" name="Picture 182"/>
            <wp:cNvGraphicFramePr>
              <a:graphicFrameLocks noChangeAspect="1"/>
            </wp:cNvGraphicFramePr>
            <a:graphic>
              <a:graphicData uri="http://schemas.openxmlformats.org/drawingml/2006/picture">
                <pic:pic>
                  <pic:nvPicPr>
                    <pic:cNvPr id="0" name="eq-131.png"/>
                    <pic:cNvPicPr/>
                  </pic:nvPicPr>
                  <pic:blipFill>
                    <a:blip r:embed="rId126"/>
                    <a:stretch>
                      <a:fillRect/>
                    </a:stretch>
                  </pic:blipFill>
                  <pic:spPr>
                    <a:xfrm>
                      <a:off x="0" y="0"/>
                      <a:ext cx="313975" cy="140242"/>
                    </a:xfrm>
                    <a:prstGeom prst="rect"/>
                  </pic:spPr>
                </pic:pic>
              </a:graphicData>
            </a:graphic>
          </wp:inline>
        </w:drawing>
      </w:r>
      <w:r>
        <w:rPr>
          <w:b w:val="0"/>
          <w:i w:val="0"/>
        </w:rPr>
        <w:t xml:space="preserve"> MWh 时以 </w:t>
      </w:r>
      <w:r>
        <w:rPr>
          <w:rFonts w:ascii="DejaVu Sans Mono" w:hAnsi="DejaVu Sans Mono"/>
          <w:b w:val="0"/>
          <w:i w:val="0"/>
          <w:sz w:val="17"/>
        </w:rPr>
        <w:t>ValueError</w:t>
      </w:r>
      <w:r>
        <w:rPr>
          <w:b w:val="0"/>
          <w:i w:val="0"/>
        </w:rPr>
        <w:t xml:space="preserve"> 终止计算。</w:t>
      </w:r>
    </w:p>
    <w:p>
      <w:pPr>
        <w:keepLines/>
        <w:spacing w:line="276" w:lineRule="auto" w:after="160"/>
      </w:pPr>
      <w:r>
        <w:rPr>
          <w:rFonts w:ascii="DejaVu Sans Mono" w:hAnsi="DejaVu Sans Mono"/>
          <w:b w:val="0"/>
          <w:i w:val="0"/>
          <w:sz w:val="17"/>
        </w:rPr>
        <w:t>inventory_energy = 0.0</w:t>
        <w:br/>
        <w:t>inventory_kg = 0.0</w:t>
        <w:br/>
        <w:t>for charge, discharge, intensity in zip(</w:t>
        <w:br/>
        <w:t xml:space="preserve">    storage_​trace["charge_mwh"],</w:t>
        <w:br/>
        <w:t xml:space="preserve">    storage_​trace["discharge_mwh"],</w:t>
        <w:br/>
        <w:t xml:space="preserve">    storage_​trace["charge_source_kgco2e_per_mwh"]):</w:t>
        <w:br/>
        <w:t xml:space="preserve">    admitted = charge * storage_​trace["charge_efficiency"][0]</w:t>
        <w:br/>
        <w:t xml:space="preserve">    inventory_energy += admitted</w:t>
        <w:br/>
        <w:t xml:space="preserve">    inventory_kg += charge * intensity</w:t>
        <w:br/>
        <w:t xml:space="preserve">    withdrawn = discharge / storage_​trace["discharge_efficiency"][0]</w:t>
        <w:br/>
        <w:t xml:space="preserve">    if withdrawn &gt; inventory_energy + 1e-7:</w:t>
        <w:br/>
        <w:t xml:space="preserve">        raise ValueError("Storage withdrawal exceeds available inventory")</w:t>
        <w:br/>
        <w:t xml:space="preserve">    share = withdrawn / inventory_energy if inventory_energy &gt; 0 else 0.0</w:t>
        <w:br/>
        <w:t xml:space="preserve">    inventory_kg *= 1.0 - share</w:t>
        <w:br/>
        <w:t xml:space="preserve">    inventory_energy -= withdrawn</w:t>
        <w:br/>
        <w:t>ending_inventory = inventory_kg / 1000.0</w:t>
        <w:br/>
      </w:r>
    </w:p>
    <w:p>
      <w:r>
        <w:rPr>
          <w:b w:val="0"/>
          <w:i w:val="0"/>
        </w:rPr>
        <w:t xml:space="preserve">氢储能的运行活动在当前账本中进入 </w:t>
      </w:r>
      <w:r>
        <w:rPr>
          <w:rFonts w:ascii="DejaVu Sans Mono" w:hAnsi="DejaVu Sans Mono"/>
          <w:b w:val="0"/>
          <w:i w:val="0"/>
          <w:sz w:val="17"/>
        </w:rPr>
        <w:t>unresolved</w:t>
      </w:r>
      <w:r>
        <w:rPr>
          <w:b w:val="0"/>
          <w:i w:val="0"/>
        </w:rPr>
        <w:t>。</w:t>
      </w:r>
      <w:r>
        <w:rPr>
          <w:rFonts w:ascii="DejaVu Sans Mono" w:hAnsi="DejaVu Sans Mono"/>
          <w:b w:val="0"/>
          <w:i w:val="0"/>
          <w:sz w:val="17"/>
        </w:rPr>
        <w:t>_normalise_technology</w:t>
      </w:r>
      <w:r>
        <w:rPr>
          <w:b w:val="0"/>
          <w:i w:val="0"/>
        </w:rPr>
        <w:t xml:space="preserve"> 将 </w:t>
      </w:r>
      <w:r>
        <w:rPr>
          <w:rFonts w:ascii="DejaVu Sans Mono" w:hAnsi="DejaVu Sans Mono"/>
          <w:b w:val="0"/>
          <w:i w:val="0"/>
          <w:sz w:val="17"/>
        </w:rPr>
        <w:t>hydrogen_battery</w:t>
      </w:r>
      <w:r>
        <w:rPr>
          <w:b w:val="0"/>
          <w:i w:val="0"/>
        </w:rPr>
        <w:t xml:space="preserve"> 转为 </w:t>
      </w:r>
      <w:r>
        <w:rPr>
          <w:rFonts w:ascii="DejaVu Sans Mono" w:hAnsi="DejaVu Sans Mono"/>
          <w:b w:val="0"/>
          <w:i w:val="0"/>
          <w:sz w:val="17"/>
        </w:rPr>
        <w:t>hydrogen_storage</w:t>
      </w:r>
      <w:r>
        <w:rPr>
          <w:b w:val="0"/>
          <w:i w:val="0"/>
        </w:rPr>
        <w:t xml:space="preserve">，该名称对应的运行因子为空；该活动使 </w:t>
      </w:r>
      <w:r>
        <w:rPr>
          <w:rFonts w:ascii="DejaVu Sans Mono" w:hAnsi="DejaVu Sans Mono"/>
          <w:b w:val="0"/>
          <w:i w:val="0"/>
          <w:sz w:val="17"/>
        </w:rPr>
        <w:t>operational</w:t>
      </w:r>
      <w:r>
        <w:rPr>
          <w:b w:val="0"/>
          <w:i w:val="0"/>
        </w:rPr>
        <w:t xml:space="preserve"> 和 </w:t>
      </w:r>
      <w:r>
        <w:rPr>
          <w:rFonts w:ascii="DejaVu Sans Mono" w:hAnsi="DejaVu Sans Mono"/>
          <w:b w:val="0"/>
          <w:i w:val="0"/>
          <w:sz w:val="17"/>
        </w:rPr>
        <w:t>total</w:t>
      </w:r>
      <w:r>
        <w:rPr>
          <w:b w:val="0"/>
          <w:i w:val="0"/>
        </w:rPr>
        <w:t xml:space="preserve"> 返回 </w:t>
      </w:r>
      <w:r>
        <w:rPr>
          <w:rFonts w:ascii="DejaVu Sans Mono" w:hAnsi="DejaVu Sans Mono"/>
          <w:b w:val="0"/>
          <w:i w:val="0"/>
          <w:sz w:val="17"/>
        </w:rPr>
        <w:t>None</w:t>
      </w:r>
      <w:r>
        <w:rPr>
          <w:b w:val="0"/>
          <w:i w:val="0"/>
        </w:rPr>
        <w:t>。氢储能设备建设部分仍按前述功率与能量容量因子计算。</w:t>
      </w:r>
    </w:p>
    <w:p>
      <w:pPr>
        <w:pStyle w:val="Heading2"/>
      </w:pPr>
      <w:r>
        <w:rPr>
          <w:b w:val="0"/>
          <w:i w:val="0"/>
        </w:rPr>
        <w:t>年度排放与强度</w:t>
      </w:r>
    </w:p>
    <w:p>
      <w:pPr>
        <w:keepNext/>
      </w:pPr>
      <w:r>
        <w:rPr>
          <w:b w:val="0"/>
          <w:i w:val="0"/>
        </w:rPr>
        <w:t xml:space="preserve">年度排放 </w:t>
      </w:r>
      <w:r>
        <w:rPr>
          <w:rFonts w:ascii="DejaVu Sans Mono" w:hAnsi="DejaVu Sans Mono"/>
          <w:b w:val="0"/>
          <w:i w:val="0"/>
          <w:sz w:val="17"/>
        </w:rPr>
        <w:t>total</w:t>
      </w:r>
      <w:r>
        <w:rPr>
          <w:b w:val="0"/>
          <w:i w:val="0"/>
        </w:rPr>
        <w:t xml:space="preserve"> 是运行排放 </w:t>
      </w:r>
      <w:r>
        <w:rPr>
          <w:rFonts w:ascii="DejaVu Sans Mono" w:hAnsi="DejaVu Sans Mono"/>
          <w:b w:val="0"/>
          <w:i w:val="0"/>
          <w:sz w:val="17"/>
        </w:rPr>
        <w:t>operational</w:t>
      </w:r>
      <w:r>
        <w:rPr>
          <w:b w:val="0"/>
          <w:i w:val="0"/>
        </w:rPr>
        <w:t xml:space="preserve"> 与年化建设排放 </w:t>
      </w:r>
      <w:r>
        <w:rPr>
          <w:rFonts w:ascii="DejaVu Sans Mono" w:hAnsi="DejaVu Sans Mono"/>
          <w:b w:val="0"/>
          <w:i w:val="0"/>
          <w:sz w:val="17"/>
        </w:rPr>
        <w:t>embodied</w:t>
      </w:r>
      <w:r>
        <w:rPr>
          <w:b w:val="0"/>
          <w:i w:val="0"/>
        </w:rPr>
        <w:t xml:space="preserve"> 之和。各活动具有匹配的排放因子、储能具有能量容量和正的经济寿命时，模型汇总这些分项。</w:t>
      </w:r>
      <w:r>
        <w:rPr>
          <w:rFonts w:ascii="DejaVu Sans Mono" w:hAnsi="DejaVu Sans Mono"/>
          <w:b w:val="0"/>
          <w:i w:val="0"/>
          <w:sz w:val="17"/>
        </w:rPr>
        <w:t>delivered_demand_mwh</w:t>
      </w:r>
      <w:r>
        <w:rPr>
          <w:b w:val="0"/>
          <w:i w:val="0"/>
        </w:rPr>
        <w:t xml:space="preserve"> 是已供电量；其为正时，模型按以下分母计算 kg/MWh 强度：</w:t>
      </w:r>
    </w:p>
    <w:p>
      <w:pPr>
        <w:spacing w:after="160"/>
        <w:jc w:val="center"/>
      </w:pPr>
      <w:r>
        <w:drawing>
          <wp:inline xmlns:a="http://schemas.openxmlformats.org/drawingml/2006/main" xmlns:pic="http://schemas.openxmlformats.org/drawingml/2006/picture">
            <wp:extent cx="4108932" cy="1008369"/>
            <wp:docPr id="183" name="Picture 183"/>
            <wp:cNvGraphicFramePr>
              <a:graphicFrameLocks noChangeAspect="1"/>
            </wp:cNvGraphicFramePr>
            <a:graphic>
              <a:graphicData uri="http://schemas.openxmlformats.org/drawingml/2006/picture">
                <pic:pic>
                  <pic:nvPicPr>
                    <pic:cNvPr id="0" name="eq-183.png"/>
                    <pic:cNvPicPr/>
                  </pic:nvPicPr>
                  <pic:blipFill>
                    <a:blip r:embed="rId164"/>
                    <a:stretch>
                      <a:fillRect/>
                    </a:stretch>
                  </pic:blipFill>
                  <pic:spPr>
                    <a:xfrm>
                      <a:off x="0" y="0"/>
                      <a:ext cx="4108932" cy="1008369"/>
                    </a:xfrm>
                    <a:prstGeom prst="rect"/>
                  </pic:spPr>
                </pic:pic>
              </a:graphicData>
            </a:graphic>
          </wp:inline>
        </w:drawing>
      </w:r>
    </w:p>
    <w:p>
      <w:pPr>
        <w:pStyle w:val="Heading2"/>
      </w:pPr>
      <w:r>
        <w:rPr>
          <w:b w:val="0"/>
          <w:i w:val="0"/>
        </w:rPr>
        <w:t>线路扩建的建设排放</w:t>
      </w:r>
    </w:p>
    <w:p>
      <w:pPr>
        <w:keepNext/>
      </w:pPr>
      <w:r>
        <w:rPr>
          <w:b w:val="0"/>
          <w:i w:val="0"/>
        </w:rPr>
        <w:t xml:space="preserve">线路建设排放在投运年一次计入 </w:t>
      </w:r>
      <w:r>
        <w:rPr>
          <w:rFonts w:ascii="DejaVu Sans Mono" w:hAnsi="DejaVu Sans Mono"/>
          <w:b w:val="0"/>
          <w:i w:val="0"/>
          <w:sz w:val="17"/>
        </w:rPr>
        <w:t>network_​construction_​embodied</w:t>
      </w:r>
      <w:r>
        <w:rPr>
          <w:b w:val="0"/>
          <w:i w:val="0"/>
        </w:rPr>
        <w:t xml:space="preserve">，并加入该年的 </w:t>
      </w:r>
      <w:r>
        <w:rPr>
          <w:rFonts w:ascii="DejaVu Sans Mono" w:hAnsi="DejaVu Sans Mono"/>
          <w:b w:val="0"/>
          <w:i w:val="0"/>
          <w:sz w:val="17"/>
        </w:rPr>
        <w:t>total</w:t>
      </w:r>
      <w:r>
        <w:rPr>
          <w:b w:val="0"/>
          <w:i w:val="0"/>
        </w:rPr>
        <w:t>。</w:t>
      </w:r>
      <w:r>
        <w:rPr>
          <w:rFonts w:ascii="DejaVu Sans Mono" w:hAnsi="DejaVu Sans Mono"/>
          <w:b w:val="0"/>
          <w:i w:val="0"/>
          <w:sz w:val="17"/>
        </w:rPr>
        <w:t>adjust_​carbon_​ledger_​for_​network</w:t>
      </w:r>
      <w:r>
        <w:rPr>
          <w:b w:val="0"/>
          <w:i w:val="0"/>
        </w:rPr>
        <w:t xml:space="preserve"> 选择 </w:t>
      </w:r>
      <w:r>
        <w:rPr>
          <w:rFonts w:ascii="DejaVu Sans Mono" w:hAnsi="DejaVu Sans Mono"/>
          <w:b w:val="0"/>
          <w:i w:val="0"/>
          <w:sz w:val="17"/>
        </w:rPr>
        <w:t>commissioning_year == year</w:t>
      </w:r>
      <w:r>
        <w:rPr>
          <w:b w:val="0"/>
          <w:i w:val="0"/>
        </w:rPr>
        <w:t xml:space="preserve"> 且 </w:t>
      </w:r>
      <w:r>
        <w:rPr>
          <w:rFonts w:ascii="DejaVu Sans Mono" w:hAnsi="DejaVu Sans Mono"/>
          <w:b w:val="0"/>
          <w:i w:val="0"/>
          <w:sz w:val="17"/>
        </w:rPr>
        <w:t>status == "commissioned"</w:t>
      </w:r>
      <w:r>
        <w:rPr>
          <w:b w:val="0"/>
          <w:i w:val="0"/>
        </w:rPr>
        <w:t xml:space="preserve"> 的网络资产。各资产的 </w:t>
      </w:r>
      <w:r>
        <w:rPr>
          <w:rFonts w:ascii="DejaVu Sans Mono" w:hAnsi="DejaVu Sans Mono"/>
          <w:b w:val="0"/>
          <w:i w:val="0"/>
          <w:sz w:val="17"/>
        </w:rPr>
        <w:t>rating</w:t>
      </w:r>
      <w:r>
        <w:rPr>
          <w:b w:val="0"/>
          <w:i w:val="0"/>
        </w:rPr>
        <w:t xml:space="preserve"> 以 MW 表示，</w:t>
      </w:r>
      <w:r>
        <w:rPr>
          <w:rFonts w:ascii="DejaVu Sans Mono" w:hAnsi="DejaVu Sans Mono"/>
          <w:b w:val="0"/>
          <w:i w:val="0"/>
          <w:sz w:val="17"/>
        </w:rPr>
        <w:t>factor</w:t>
      </w:r>
      <w:r>
        <w:rPr>
          <w:b w:val="0"/>
          <w:i w:val="0"/>
        </w:rPr>
        <w:t xml:space="preserve"> 读取以 tCO₂e/MW 表示的 </w:t>
      </w:r>
      <w:r>
        <w:rPr>
          <w:rFonts w:ascii="DejaVu Sans Mono" w:hAnsi="DejaVu Sans Mono"/>
          <w:b w:val="0"/>
          <w:i w:val="0"/>
          <w:sz w:val="17"/>
        </w:rPr>
        <w:t>asset.embodied_​carbon_​factor_​tco2e_​per_​mw</w:t>
      </w:r>
      <w:r>
        <w:rPr>
          <w:b w:val="0"/>
          <w:i w:val="0"/>
        </w:rPr>
        <w:t>，</w:t>
      </w:r>
      <w:r>
        <w:rPr>
          <w:rFonts w:ascii="DejaVu Sans Mono" w:hAnsi="DejaVu Sans Mono"/>
          <w:b w:val="0"/>
          <w:i w:val="0"/>
          <w:sz w:val="17"/>
        </w:rPr>
        <w:t>emissions</w:t>
      </w:r>
      <w:r>
        <w:rPr>
          <w:b w:val="0"/>
          <w:i w:val="0"/>
        </w:rPr>
        <w:t xml:space="preserve"> 以吨表示：</w:t>
      </w:r>
    </w:p>
    <w:p>
      <w:pPr>
        <w:spacing w:after="160"/>
        <w:jc w:val="center"/>
      </w:pPr>
      <w:r>
        <w:drawing>
          <wp:inline xmlns:a="http://schemas.openxmlformats.org/drawingml/2006/main" xmlns:pic="http://schemas.openxmlformats.org/drawingml/2006/picture">
            <wp:extent cx="4603089" cy="1138202"/>
            <wp:docPr id="184" name="Picture 184"/>
            <wp:cNvGraphicFramePr>
              <a:graphicFrameLocks noChangeAspect="1"/>
            </wp:cNvGraphicFramePr>
            <a:graphic>
              <a:graphicData uri="http://schemas.openxmlformats.org/drawingml/2006/picture">
                <pic:pic>
                  <pic:nvPicPr>
                    <pic:cNvPr id="0" name="eq-184.png"/>
                    <pic:cNvPicPr/>
                  </pic:nvPicPr>
                  <pic:blipFill>
                    <a:blip r:embed="rId165"/>
                    <a:stretch>
                      <a:fillRect/>
                    </a:stretch>
                  </pic:blipFill>
                  <pic:spPr>
                    <a:xfrm>
                      <a:off x="0" y="0"/>
                      <a:ext cx="4603089" cy="1138202"/>
                    </a:xfrm>
                    <a:prstGeom prst="rect"/>
                  </pic:spPr>
                </pic:pic>
              </a:graphicData>
            </a:graphic>
          </wp:inline>
        </w:drawing>
      </w:r>
    </w:p>
    <w:p>
      <w:r>
        <w:rPr>
          <w:b w:val="0"/>
          <w:i w:val="0"/>
        </w:rPr>
        <w:t xml:space="preserve">更新后的总排放用于 </w:t>
      </w:r>
      <w:r>
        <w:rPr>
          <w:rFonts w:ascii="DejaVu Sans Mono" w:hAnsi="DejaVu Sans Mono"/>
          <w:b w:val="0"/>
          <w:i w:val="0"/>
          <w:sz w:val="17"/>
        </w:rPr>
        <w:t>overall_kgco2e_per_mwh</w:t>
      </w:r>
      <w:r>
        <w:rPr>
          <w:b w:val="0"/>
          <w:i w:val="0"/>
        </w:rPr>
        <w:t xml:space="preserve"> 和 </w:t>
      </w:r>
      <w:r>
        <w:rPr>
          <w:rFonts w:ascii="DejaVu Sans Mono" w:hAnsi="DejaVu Sans Mono"/>
          <w:b w:val="0"/>
          <w:i w:val="0"/>
          <w:sz w:val="17"/>
        </w:rPr>
        <w:t>delivered_​demand_​kgco2e_​per_​mwh</w:t>
      </w:r>
      <w:r>
        <w:rPr>
          <w:b w:val="0"/>
          <w:i w:val="0"/>
        </w:rPr>
        <w:t xml:space="preserve">，以正的已供电量 </w:t>
      </w:r>
      <w:r>
        <w:rPr>
          <w:rFonts w:ascii="DejaVu Sans Mono" w:hAnsi="DejaVu Sans Mono"/>
          <w:b w:val="0"/>
          <w:i w:val="0"/>
          <w:sz w:val="17"/>
        </w:rPr>
        <w:t>denominator</w:t>
      </w:r>
      <w:r>
        <w:rPr>
          <w:b w:val="0"/>
          <w:i w:val="0"/>
        </w:rPr>
        <w:t xml:space="preserve"> 为分母。所选线路缺少排放因子时，其建设条目进入待求值状态，总排放返回 </w:t>
      </w:r>
      <w:r>
        <w:rPr>
          <w:rFonts w:ascii="DejaVu Sans Mono" w:hAnsi="DejaVu Sans Mono"/>
          <w:b w:val="0"/>
          <w:i w:val="0"/>
          <w:sz w:val="17"/>
        </w:rPr>
        <w:t>None</w:t>
      </w:r>
      <w:r>
        <w:rPr>
          <w:b w:val="0"/>
          <w:i w:val="0"/>
        </w:rPr>
        <w:t>。随附的固定 23 区网络保留其声明的线路；上述新增计算随可选线路扩建模块执行。</w:t>
      </w:r>
    </w:p>
    <w:p>
      <w:pPr>
        <w:pStyle w:val="Heading2"/>
      </w:pPr>
      <w:r>
        <w:rPr>
          <w:b w:val="0"/>
          <w:i w:val="0"/>
        </w:rPr>
        <w:t>数据与实现对应</w:t>
      </w:r>
    </w:p>
    <w:p>
      <w:r>
        <w:rPr>
          <w:rFonts w:ascii="DejaVu Sans Mono" w:hAnsi="DejaVu Sans Mono"/>
          <w:b w:val="0"/>
          <w:i w:val="0"/>
          <w:sz w:val="17"/>
        </w:rPr>
        <w:t>factor_catalog.csv</w:t>
      </w:r>
      <w:r>
        <w:rPr>
          <w:b w:val="0"/>
          <w:i w:val="0"/>
        </w:rPr>
        <w:t xml:space="preserve"> 保存因子、单位、核算边界和来源定位，</w:t>
      </w:r>
      <w:r>
        <w:rPr>
          <w:rFonts w:ascii="DejaVu Sans Mono" w:hAnsi="DejaVu Sans Mono"/>
          <w:b w:val="0"/>
          <w:i w:val="0"/>
          <w:sz w:val="17"/>
        </w:rPr>
        <w:t>sources.csv</w:t>
      </w:r>
      <w:r>
        <w:rPr>
          <w:b w:val="0"/>
          <w:i w:val="0"/>
        </w:rPr>
        <w:t xml:space="preserve"> 保存来源名称。</w:t>
      </w:r>
      <w:r>
        <w:rPr>
          <w:rFonts w:ascii="DejaVu Sans Mono" w:hAnsi="DejaVu Sans Mono"/>
          <w:b w:val="0"/>
          <w:i w:val="0"/>
          <w:sz w:val="17"/>
        </w:rPr>
        <w:t>CarbonFactorDatabase</w:t>
      </w:r>
      <w:r>
        <w:rPr>
          <w:b w:val="0"/>
          <w:i w:val="0"/>
        </w:rPr>
        <w:t xml:space="preserve"> 读取 </w:t>
      </w:r>
      <w:r>
        <w:rPr>
          <w:rFonts w:ascii="DejaVu Sans Mono" w:hAnsi="DejaVu Sans Mono"/>
          <w:b w:val="0"/>
          <w:i w:val="0"/>
          <w:sz w:val="17"/>
        </w:rPr>
        <w:t>value_​carbon_​factors.sqlite</w:t>
      </w:r>
      <w:r>
        <w:rPr>
          <w:b w:val="0"/>
          <w:i w:val="0"/>
        </w:rPr>
        <w:t>，</w:t>
      </w:r>
      <w:r>
        <w:rPr>
          <w:rFonts w:ascii="DejaVu Sans Mono" w:hAnsi="DejaVu Sans Mono"/>
          <w:b w:val="0"/>
          <w:i w:val="0"/>
          <w:sz w:val="17"/>
        </w:rPr>
        <w:t>build_​operational_​carbon_​ledger</w:t>
      </w:r>
      <w:r>
        <w:rPr>
          <w:b w:val="0"/>
          <w:i w:val="0"/>
        </w:rPr>
        <w:t xml:space="preserve"> 将调度电量、在役资产与所选因子集连接，</w:t>
      </w:r>
      <w:r>
        <w:rPr>
          <w:rFonts w:ascii="DejaVu Sans Mono" w:hAnsi="DejaVu Sans Mono"/>
          <w:b w:val="0"/>
          <w:i w:val="0"/>
          <w:sz w:val="17"/>
        </w:rPr>
        <w:t>_asset_embodied_lines</w:t>
      </w:r>
      <w:r>
        <w:rPr>
          <w:b w:val="0"/>
          <w:i w:val="0"/>
        </w:rPr>
        <w:t xml:space="preserve"> 计算设备的年化建设排放。</w:t>
      </w:r>
    </w:p>
    <w:sectPr w:rsidR="00FC693F" w:rsidRPr="0006063C" w:rsidSect="00034616">
      <w:headerReference w:type="default" r:id="rId9"/>
      <w:footerReference w:type="default" r:id="rId10"/>
      <w:pgSz w:w="11909" w:h="16834"/>
      <w:pgMar w:top="979" w:right="965" w:bottom="936" w:left="965"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修订版 0.5   2026年10月12日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VALUE 模型方法学</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95" w:lineRule="auto" w:after="120"/>
      <w:wordWrap w:val="0"/>
      <w:kinsoku w:val="1"/>
    </w:pPr>
    <w:rPr>
      <w:rFonts w:ascii="Liberation Serif" w:hAnsi="Liberation Serif" w:eastAsia="Noto Serif CJK SC"/>
      <w:color w:val="000000"/>
      <w:sz w:val="22"/>
      <w:lang w:val="en-GB"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wordWrap w:val="0"/>
      <w:kinsoku w:val="1"/>
    </w:pPr>
    <w:rPr>
      <w:rFonts w:asciiTheme="majorHAnsi" w:eastAsiaTheme="majorEastAsia" w:hAnsiTheme="majorHAnsi" w:cstheme="majorBidi" w:ascii="Liberation Serif" w:hAnsi="Liberation Serif" w:eastAsia="Noto Serif CJK SC"/>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wordWrap w:val="0"/>
      <w:kinsoku w:val="1"/>
    </w:pPr>
    <w:rPr>
      <w:rFonts w:asciiTheme="majorHAnsi" w:eastAsiaTheme="majorEastAsia" w:hAnsiTheme="majorHAnsi" w:cstheme="majorBidi" w:ascii="Liberation Serif" w:hAnsi="Liberation Serif" w:eastAsia="Noto Serif CJK SC"/>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60" w:after="140"/>
      <w:outlineLvl w:val="2"/>
      <w:wordWrap w:val="0"/>
      <w:kinsoku w:val="1"/>
    </w:pPr>
    <w:rPr>
      <w:rFonts w:asciiTheme="majorHAnsi" w:eastAsiaTheme="majorEastAsia" w:hAnsiTheme="majorHAnsi" w:cstheme="majorBidi" w:ascii="Liberation Serif" w:hAnsi="Liberation Serif" w:eastAsia="Noto Serif CJK SC"/>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60" w:after="140"/>
      <w:outlineLvl w:val="3"/>
      <w:wordWrap w:val="0"/>
      <w:kinsoku w:val="1"/>
    </w:pPr>
    <w:rPr>
      <w:rFonts w:asciiTheme="majorHAnsi" w:eastAsiaTheme="majorEastAsia" w:hAnsiTheme="majorHAnsi" w:cstheme="majorBidi" w:ascii="Liberation Serif" w:hAnsi="Liberation Serif" w:eastAsia="Noto Serif CJK SC"/>
      <w:b/>
      <w:bCs/>
      <w:i/>
      <w:iCs/>
      <w:color w:val="000000"/>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Liberation Serif" w:hAnsi="Liberation Serif" w:eastAsia="Noto Serif CJK SC"/>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60" w:after="140"/>
    </w:pPr>
    <w:rPr>
      <w:rFonts w:asciiTheme="majorHAnsi" w:eastAsiaTheme="majorEastAsia" w:hAnsiTheme="majorHAnsi" w:cstheme="majorBidi" w:ascii="Liberation Serif" w:hAnsi="Liberation Serif" w:eastAsia="Noto Serif CJK SC"/>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wordWrap w:val="0"/>
      <w:kinsoku w:val="1"/>
    </w:pPr>
    <w:rPr>
      <w:rFonts w:ascii="Liberation Serif" w:hAnsi="Liberation Serif" w:eastAsia="Noto Serif CJK SC"/>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image" Target="media/image49.png"/><Relationship Id="rId60" Type="http://schemas.openxmlformats.org/officeDocument/2006/relationships/image" Target="media/image50.png"/><Relationship Id="rId61" Type="http://schemas.openxmlformats.org/officeDocument/2006/relationships/image" Target="media/image51.png"/><Relationship Id="rId62" Type="http://schemas.openxmlformats.org/officeDocument/2006/relationships/image" Target="media/image52.png"/><Relationship Id="rId63" Type="http://schemas.openxmlformats.org/officeDocument/2006/relationships/image" Target="media/image53.png"/><Relationship Id="rId64" Type="http://schemas.openxmlformats.org/officeDocument/2006/relationships/image" Target="media/image54.png"/><Relationship Id="rId65" Type="http://schemas.openxmlformats.org/officeDocument/2006/relationships/image" Target="media/image55.png"/><Relationship Id="rId66" Type="http://schemas.openxmlformats.org/officeDocument/2006/relationships/image" Target="media/image56.png"/><Relationship Id="rId67" Type="http://schemas.openxmlformats.org/officeDocument/2006/relationships/image" Target="media/image57.png"/><Relationship Id="rId68" Type="http://schemas.openxmlformats.org/officeDocument/2006/relationships/image" Target="media/image58.png"/><Relationship Id="rId69" Type="http://schemas.openxmlformats.org/officeDocument/2006/relationships/image" Target="media/image59.png"/><Relationship Id="rId70" Type="http://schemas.openxmlformats.org/officeDocument/2006/relationships/image" Target="media/image60.png"/><Relationship Id="rId71" Type="http://schemas.openxmlformats.org/officeDocument/2006/relationships/image" Target="media/image61.png"/><Relationship Id="rId72" Type="http://schemas.openxmlformats.org/officeDocument/2006/relationships/image" Target="media/image62.png"/><Relationship Id="rId73" Type="http://schemas.openxmlformats.org/officeDocument/2006/relationships/image" Target="media/image63.png"/><Relationship Id="rId74" Type="http://schemas.openxmlformats.org/officeDocument/2006/relationships/image" Target="media/image64.png"/><Relationship Id="rId75" Type="http://schemas.openxmlformats.org/officeDocument/2006/relationships/image" Target="media/image65.png"/><Relationship Id="rId76" Type="http://schemas.openxmlformats.org/officeDocument/2006/relationships/image" Target="media/image66.png"/><Relationship Id="rId77" Type="http://schemas.openxmlformats.org/officeDocument/2006/relationships/image" Target="media/image67.png"/><Relationship Id="rId78" Type="http://schemas.openxmlformats.org/officeDocument/2006/relationships/image" Target="media/image68.png"/><Relationship Id="rId79" Type="http://schemas.openxmlformats.org/officeDocument/2006/relationships/image" Target="media/image69.png"/><Relationship Id="rId80" Type="http://schemas.openxmlformats.org/officeDocument/2006/relationships/image" Target="media/image70.png"/><Relationship Id="rId81" Type="http://schemas.openxmlformats.org/officeDocument/2006/relationships/image" Target="media/image71.png"/><Relationship Id="rId82" Type="http://schemas.openxmlformats.org/officeDocument/2006/relationships/image" Target="media/image72.png"/><Relationship Id="rId83" Type="http://schemas.openxmlformats.org/officeDocument/2006/relationships/image" Target="media/image73.png"/><Relationship Id="rId84" Type="http://schemas.openxmlformats.org/officeDocument/2006/relationships/image" Target="media/image74.png"/><Relationship Id="rId85" Type="http://schemas.openxmlformats.org/officeDocument/2006/relationships/image" Target="media/image75.png"/><Relationship Id="rId86" Type="http://schemas.openxmlformats.org/officeDocument/2006/relationships/image" Target="media/image76.png"/><Relationship Id="rId87" Type="http://schemas.openxmlformats.org/officeDocument/2006/relationships/image" Target="media/image77.png"/><Relationship Id="rId88" Type="http://schemas.openxmlformats.org/officeDocument/2006/relationships/image" Target="media/image78.png"/><Relationship Id="rId89" Type="http://schemas.openxmlformats.org/officeDocument/2006/relationships/image" Target="media/image79.png"/><Relationship Id="rId90" Type="http://schemas.openxmlformats.org/officeDocument/2006/relationships/image" Target="media/image80.png"/><Relationship Id="rId91" Type="http://schemas.openxmlformats.org/officeDocument/2006/relationships/image" Target="media/image81.png"/><Relationship Id="rId92" Type="http://schemas.openxmlformats.org/officeDocument/2006/relationships/image" Target="media/image82.png"/><Relationship Id="rId93" Type="http://schemas.openxmlformats.org/officeDocument/2006/relationships/image" Target="media/image83.png"/><Relationship Id="rId94" Type="http://schemas.openxmlformats.org/officeDocument/2006/relationships/image" Target="media/image84.png"/><Relationship Id="rId95" Type="http://schemas.openxmlformats.org/officeDocument/2006/relationships/image" Target="media/image85.png"/><Relationship Id="rId96" Type="http://schemas.openxmlformats.org/officeDocument/2006/relationships/image" Target="media/image86.png"/><Relationship Id="rId97" Type="http://schemas.openxmlformats.org/officeDocument/2006/relationships/image" Target="media/image87.png"/><Relationship Id="rId98" Type="http://schemas.openxmlformats.org/officeDocument/2006/relationships/image" Target="media/image88.png"/><Relationship Id="rId99" Type="http://schemas.openxmlformats.org/officeDocument/2006/relationships/image" Target="media/image89.png"/><Relationship Id="rId100" Type="http://schemas.openxmlformats.org/officeDocument/2006/relationships/image" Target="media/image90.png"/><Relationship Id="rId101" Type="http://schemas.openxmlformats.org/officeDocument/2006/relationships/image" Target="media/image91.png"/><Relationship Id="rId102" Type="http://schemas.openxmlformats.org/officeDocument/2006/relationships/image" Target="media/image92.png"/><Relationship Id="rId103" Type="http://schemas.openxmlformats.org/officeDocument/2006/relationships/image" Target="media/image93.png"/><Relationship Id="rId104" Type="http://schemas.openxmlformats.org/officeDocument/2006/relationships/image" Target="media/image94.png"/><Relationship Id="rId105" Type="http://schemas.openxmlformats.org/officeDocument/2006/relationships/image" Target="media/image95.png"/><Relationship Id="rId106" Type="http://schemas.openxmlformats.org/officeDocument/2006/relationships/image" Target="media/image96.png"/><Relationship Id="rId107" Type="http://schemas.openxmlformats.org/officeDocument/2006/relationships/image" Target="media/image97.png"/><Relationship Id="rId108" Type="http://schemas.openxmlformats.org/officeDocument/2006/relationships/image" Target="media/image98.png"/><Relationship Id="rId109" Type="http://schemas.openxmlformats.org/officeDocument/2006/relationships/image" Target="media/image99.png"/><Relationship Id="rId110" Type="http://schemas.openxmlformats.org/officeDocument/2006/relationships/image" Target="media/image100.png"/><Relationship Id="rId111" Type="http://schemas.openxmlformats.org/officeDocument/2006/relationships/image" Target="media/image101.png"/><Relationship Id="rId112" Type="http://schemas.openxmlformats.org/officeDocument/2006/relationships/image" Target="media/image102.png"/><Relationship Id="rId113" Type="http://schemas.openxmlformats.org/officeDocument/2006/relationships/image" Target="media/image103.png"/><Relationship Id="rId114" Type="http://schemas.openxmlformats.org/officeDocument/2006/relationships/image" Target="media/image104.png"/><Relationship Id="rId115" Type="http://schemas.openxmlformats.org/officeDocument/2006/relationships/image" Target="media/image105.png"/><Relationship Id="rId116" Type="http://schemas.openxmlformats.org/officeDocument/2006/relationships/image" Target="media/image106.png"/><Relationship Id="rId117" Type="http://schemas.openxmlformats.org/officeDocument/2006/relationships/image" Target="media/image107.png"/><Relationship Id="rId118" Type="http://schemas.openxmlformats.org/officeDocument/2006/relationships/image" Target="media/image108.png"/><Relationship Id="rId119" Type="http://schemas.openxmlformats.org/officeDocument/2006/relationships/image" Target="media/image109.png"/><Relationship Id="rId120" Type="http://schemas.openxmlformats.org/officeDocument/2006/relationships/image" Target="media/image110.png"/><Relationship Id="rId121" Type="http://schemas.openxmlformats.org/officeDocument/2006/relationships/image" Target="media/image111.png"/><Relationship Id="rId122" Type="http://schemas.openxmlformats.org/officeDocument/2006/relationships/image" Target="media/image112.png"/><Relationship Id="rId123" Type="http://schemas.openxmlformats.org/officeDocument/2006/relationships/image" Target="media/image113.png"/><Relationship Id="rId124" Type="http://schemas.openxmlformats.org/officeDocument/2006/relationships/image" Target="media/image114.png"/><Relationship Id="rId125" Type="http://schemas.openxmlformats.org/officeDocument/2006/relationships/image" Target="media/image115.png"/><Relationship Id="rId126" Type="http://schemas.openxmlformats.org/officeDocument/2006/relationships/image" Target="media/image116.png"/><Relationship Id="rId127" Type="http://schemas.openxmlformats.org/officeDocument/2006/relationships/image" Target="media/image117.png"/><Relationship Id="rId128" Type="http://schemas.openxmlformats.org/officeDocument/2006/relationships/image" Target="media/image118.png"/><Relationship Id="rId129" Type="http://schemas.openxmlformats.org/officeDocument/2006/relationships/image" Target="media/image119.png"/><Relationship Id="rId130" Type="http://schemas.openxmlformats.org/officeDocument/2006/relationships/image" Target="media/image120.png"/><Relationship Id="rId131" Type="http://schemas.openxmlformats.org/officeDocument/2006/relationships/image" Target="media/image121.png"/><Relationship Id="rId132" Type="http://schemas.openxmlformats.org/officeDocument/2006/relationships/image" Target="media/image122.png"/><Relationship Id="rId133" Type="http://schemas.openxmlformats.org/officeDocument/2006/relationships/image" Target="media/image123.png"/><Relationship Id="rId134" Type="http://schemas.openxmlformats.org/officeDocument/2006/relationships/image" Target="media/image124.png"/><Relationship Id="rId135" Type="http://schemas.openxmlformats.org/officeDocument/2006/relationships/image" Target="media/image125.png"/><Relationship Id="rId136" Type="http://schemas.openxmlformats.org/officeDocument/2006/relationships/image" Target="media/image126.png"/><Relationship Id="rId137" Type="http://schemas.openxmlformats.org/officeDocument/2006/relationships/image" Target="media/image127.png"/><Relationship Id="rId138" Type="http://schemas.openxmlformats.org/officeDocument/2006/relationships/image" Target="media/image128.png"/><Relationship Id="rId139" Type="http://schemas.openxmlformats.org/officeDocument/2006/relationships/image" Target="media/image129.png"/><Relationship Id="rId140" Type="http://schemas.openxmlformats.org/officeDocument/2006/relationships/image" Target="media/image130.png"/><Relationship Id="rId141" Type="http://schemas.openxmlformats.org/officeDocument/2006/relationships/image" Target="media/image131.png"/><Relationship Id="rId142" Type="http://schemas.openxmlformats.org/officeDocument/2006/relationships/image" Target="media/image132.png"/><Relationship Id="rId143" Type="http://schemas.openxmlformats.org/officeDocument/2006/relationships/image" Target="media/image133.png"/><Relationship Id="rId144" Type="http://schemas.openxmlformats.org/officeDocument/2006/relationships/image" Target="media/image134.png"/><Relationship Id="rId145" Type="http://schemas.openxmlformats.org/officeDocument/2006/relationships/image" Target="media/image135.png"/><Relationship Id="rId146" Type="http://schemas.openxmlformats.org/officeDocument/2006/relationships/image" Target="media/image136.png"/><Relationship Id="rId147" Type="http://schemas.openxmlformats.org/officeDocument/2006/relationships/image" Target="media/image137.png"/><Relationship Id="rId148" Type="http://schemas.openxmlformats.org/officeDocument/2006/relationships/image" Target="media/image138.png"/><Relationship Id="rId149" Type="http://schemas.openxmlformats.org/officeDocument/2006/relationships/image" Target="media/image139.png"/><Relationship Id="rId150" Type="http://schemas.openxmlformats.org/officeDocument/2006/relationships/image" Target="media/image140.png"/><Relationship Id="rId151" Type="http://schemas.openxmlformats.org/officeDocument/2006/relationships/image" Target="media/image141.png"/><Relationship Id="rId152" Type="http://schemas.openxmlformats.org/officeDocument/2006/relationships/image" Target="media/image142.png"/><Relationship Id="rId153" Type="http://schemas.openxmlformats.org/officeDocument/2006/relationships/image" Target="media/image143.png"/><Relationship Id="rId154" Type="http://schemas.openxmlformats.org/officeDocument/2006/relationships/image" Target="media/image144.png"/><Relationship Id="rId155" Type="http://schemas.openxmlformats.org/officeDocument/2006/relationships/image" Target="media/image145.png"/><Relationship Id="rId156" Type="http://schemas.openxmlformats.org/officeDocument/2006/relationships/image" Target="media/image146.png"/><Relationship Id="rId157" Type="http://schemas.openxmlformats.org/officeDocument/2006/relationships/image" Target="media/image147.png"/><Relationship Id="rId158" Type="http://schemas.openxmlformats.org/officeDocument/2006/relationships/image" Target="media/image148.png"/><Relationship Id="rId159" Type="http://schemas.openxmlformats.org/officeDocument/2006/relationships/image" Target="media/image149.png"/><Relationship Id="rId160" Type="http://schemas.openxmlformats.org/officeDocument/2006/relationships/image" Target="media/image150.png"/><Relationship Id="rId161" Type="http://schemas.openxmlformats.org/officeDocument/2006/relationships/image" Target="media/image151.png"/><Relationship Id="rId162" Type="http://schemas.openxmlformats.org/officeDocument/2006/relationships/image" Target="media/image152.png"/><Relationship Id="rId163" Type="http://schemas.openxmlformats.org/officeDocument/2006/relationships/image" Target="media/image153.png"/><Relationship Id="rId164" Type="http://schemas.openxmlformats.org/officeDocument/2006/relationships/image" Target="media/image154.png"/><Relationship Id="rId165" Type="http://schemas.openxmlformats.org/officeDocument/2006/relationships/image" Target="media/image1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VALUE 模型方法学</dc:title>
  <dc:subject>数学设定  计算方法  输入数据</dc:subject>
  <dc:creator>VALUE</dc:creator>
  <cp:keywords/>
  <dc:description>generated by python-docx</dc:description>
  <cp:lastModifiedBy/>
  <cp:revision>1</cp:revision>
  <dcterms:created xsi:type="dcterms:W3CDTF">2013-12-23T23:15:00Z</dcterms:created>
  <dcterms:modified xsi:type="dcterms:W3CDTF">2013-12-23T23:15:00Z</dcterms:modified>
  <cp:category/>
</cp:coreProperties>
</file>